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tiêu thụ đặc biệt đối với cơ sở sản xuất, pha chế xăng sinh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chuẩn bị số liệu, lập hồ sơ và gửi đến cơ quan thuế chậm nhất là ngày 20 của tháng sau tháng phát sinh theo quy định.
Trường hợp người nộp thuế có kinh doanh xuất khẩu chưa nộp thuế tiêu thụ đặc biệt ở khâu sản xuất sau đó không xuất khẩu mà bán trong nước; cơ sở kinh doanh mua xe ô tô, tàu bay, du thuyền sản xuất trong nước thuộc đối tượng không chịu thuế tiêu thụ đặc biệt nhưng sau đó chuyển mục đích sử dụng sang đối tượng chịu thuế tiêu thụ đặc biệt thì khai theo lần phát sinh.
Trường hợp người nộp thuế gửi hồ sơ qua giao dịch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 (sau đây gọi là Cổng thông tin điện tử của cơ quan nhà nước có thẩm quyền)/Cổng thông tin của tổ chức cung cấp dịch vụ T-VAN) để khai hồ sơ khai thuế và các phụ lục đính kèm theo quy định dưới dạng điện tử (nếu có), ký điện tử và gửi đến cơ quan thuế qua Cổng thông tin điện tử mà người nộp thuế lựa chọn
+ Bước 2. Cơ quan thuế tiếp nhận:
++ Trường hợp hồ sơ được nộp trực tiếp tại cơ quan thuế hoặc được gửi qua đường bưu chính: cơ quan thuế thực hiện tiếp nhận hồ sơ theo quy định.
	++ Trường hợp hồ sơ được nộp thông qua giao dịch điện tử, việc tiếp nhận, kiểm tra, chấp nhận, giải quyết hồ sơ thông qua hệ thống xử lý dữ liệu điện tử của cơ quan thuế:
+++ Tiếp nhận hồ sơ: Cổng thông tin điện tử của Tổng cục Thuế gửi thông báo tiếp nhận việc NNT đã nộp hồ sơ hoặc thông báo lý do không tiếp nhận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khai thuế điện tử của người nộp thuế.
+++ Kiểm tra, giải quyết hồ sơ: Cơ quan thuế thực hiện kiểm tra, giải quyết hồ sơ khai thuế của NNT theo quy định của Luật Quản lý thuế và các văn bản hướng dẫn thi hành:
Cơ quan thuế gửi thông báo chấp nhận/không chấp nhận hồ sơ đến Cổng thông tin điện tử mà NNT lựa chọn lập và gửi hồ sơ (Cổng thông tin điện tử của Tổng cục Thuế/Cổng thông tin điện tử của cơ quan nhà nước có thẩm quyền hoặc tổ chức cung cấp dịch vụ T-VAN)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cơ quan thuế
Hồ sơ gửi đến cơ quan thuế không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chính
Hồ sơ gửi đến cơ quan thuế không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Cổng thông tin điện tử của Cục Thuế; hoặc Cổng thông tin điện tử của cơ quan nhà nước có thẩm quyền; hoặc qua tổ chức cung cấp dịch vụ T - VAN
Hồ sơ gửi đến cơ quan thuế không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TTĐB theo mẫu số 02/TTĐB ban hành kèm theo Thông tư số 80/2021/TT-BTC;</w:t>
            </w:r>
          </w:p>
        </w:tc>
        <w:tc>
          <w:p/>
          <w:p>
            <w:pPr>
              <w:spacing w:after="0" w:before="0" w:lineRule="auto" w:line="276"/>
              <w:jc w:val="left"/>
            </w:pPr>
            <w:r>
              <w:rPr>
                <w:rFonts w:ascii="Times New Roman" w:hAnsi="Times New Roman" w:cs="Times New Roman" w:eastAsia="Times New Roman"/>
                <w:b w:val="false"/>
                <w:sz w:val="26"/>
              </w:rPr>
              <w:t>02TTBtkthuTTBxngsh.doc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2026-10-25T11:29:13Z</dcterms:created>
  <dc:creator>Apache POI</dc:creator>
</cp:coreProperties>
</file>