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tiêu thụ đặc biệt đối với sản xuất, kinh doanh hàng hóa, dịch vụ chịu thuế TTĐB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và gửi đến cơ quan thuế quản lý trực tiếp người nộp thuế chậm nhất là ngày thứ 20 của tháng tiếp theo tháng phát sinh nghĩa vụ thuế.
Trường hợp người nộp thuế có hoạt động kinh doanh xuất khẩu chưa nộp thuế tiêu thụ đặc biệt ở khâu sản xuất sau đó không xuất khẩu mà bán trong nước và trường hợp cơ sở kinh doanh mua xe ô tô, tàu bay, du thuyền sản xuất trong nước thuộc đối tượng không chịu thuế tiêu thụ đặc biệt nhưng sau đó chuyển mục đích sử dụng sang đối tượng chịu thuế tiêu thụ đặc biệt thì thực hiện khai thuế tiêu thụ đặc biệt theo từng lần phát sinh và gửi đến cơ quan thuế quản lý trực tiếp người nộp thuế chậm nhất 10 ngày kể từ ngày phát sinh.
++ Trường hợp NNT nộp hồ sơ qua giao dịch điện tử: NNT truy cập vào Cổng Dịch vụ công Quốc gia/Hệ thống thông tin giải quyết thủ tục hành chính để lập hồ sơ điện tử, ký điện tử và gửi đến cơ quan thuế.
++ Trường hợp NNT nộp hồ sơ trực tiếp/qua bưu chính: NNT lập hồ sơ giấy, ký và gửi đến cơ quan thuế qua Trung tâm Phục vụ hành chính công cấp tỉnh/Trung tâm Phục vụ hành chính công cấp xã hoặc qua đường bưu chính.</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qua giao dịch điện tử thì việc tiếp nhận và kiểm tra, chấp nhận hồ sơ thực hiện như sau:
+++ Tiếp nhận hồ sơ: Cổng Dịch vụ công Quốc gia/Hệ thống thông tin giải quyết thủ tục hành chính gửi thông báo cho NNT về việc tiếp nhận hồ sơ của NNT hoặc thông báo lý do không tiếp nhận hồ sơ của NNT chậm nhất 15 phút kể từ khi nhận được hồ sơ điện tử của NNT.
+++ Kiểm tra, chấp nhận hồ sơ: Cơ quan thuế kiểm tra hồ sơ và gửi thông báo cho NNT về việc chấp nhận hoặc không chấp nhận hồ sơ của NNT qua Cổng Dịch vụ công Quốc gia/Hệ thống thông tin giải quyết thủ tục hành chính chậm nhất 01 ngày làm việc kể từ ngày ghi trên thông báo tiếp nhận hồ sơ điện tử của NNT.
++ Trường hợp hồ sơ được nộp trực tiếp/qua bưu chính: cơ quan thuế thực hiện tiếp nhận, đóng dấu tiếp nhận hồ sơ của NNT (nếu hồ sơ đã đầy đủ, đúng quy định) hoặc hướng dẫn NNT hoàn thiện hồ sơ (nếu hồ sơ không đầy đủ, không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Cổng DVC Quốc gia hoặc Ứng dụng định danh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TTĐB mẫu số 01/TTĐB ban hành kèm theo Danh mục hồ sơ khai thuế tại Phụ lục I ban hành kèm theo Nghị định số 373/2025/NĐ-CP ngày 31/12/2025 của Chính phủ sửa đổi, bổ sung một số điều của Nghị định số 126/2020/NĐ-CP ngày 19 /10/2020 của Chính phủ quy định chi tiết một số điều của Luật Quản lý thuế (sau đây gọi là Nghị định số 373/2025/NĐ-CP)</w:t>
            </w:r>
          </w:p>
        </w:tc>
        <w:tc>
          <w:p/>
          <w:p>
            <w:pPr>
              <w:spacing w:after="0" w:before="0" w:lineRule="auto" w:line="276"/>
              <w:jc w:val="left"/>
            </w:pPr>
            <w:r>
              <w:rPr>
                <w:rFonts w:ascii="Times New Roman" w:hAnsi="Times New Roman" w:cs="Times New Roman" w:eastAsia="Times New Roman"/>
                <w:b w:val="false"/>
                <w:sz w:val="26"/>
              </w:rPr>
              <w:t>Mus01TTB.docx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xác định thuế tiêu thụ đặc biệt được khấu trừ (nếu có) mẫu số 01-2/TTĐB ban hành kèm theo Phụ lục II Thông tư số 80/2021/TT-BTC ngày 29/9/2021 của Bộ trưởng Bộ Tài chính</w:t>
            </w:r>
          </w:p>
        </w:tc>
        <w:tc>
          <w:p/>
          <w:p>
            <w:pPr>
              <w:spacing w:after="0" w:before="0" w:lineRule="auto" w:line="276"/>
              <w:jc w:val="left"/>
            </w:pPr>
            <w:r>
              <w:rPr>
                <w:rFonts w:ascii="Times New Roman" w:hAnsi="Times New Roman" w:cs="Times New Roman" w:eastAsia="Times New Roman"/>
                <w:b w:val="false"/>
                <w:sz w:val="26"/>
              </w:rPr>
              <w:t>Mu01-2TTB.docx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phân bổ thuế tiêu thụ đặc biệt theo địa bàn tỉnh, thành phố từ hoạt động kinh doanh sổ xố (nếu có) mẫu số 01-3/TTĐB ban hành kèm theo Phụ lục II Thông tư số 80/2021/TT-BTC ngày 29/9/2021 của Bộ trưởng Bộ Tài chính (đã được sửa đổi, bổ sung theo quy định tại điểm b khoản 7 Điều 1 Thông tư số 40/2025/TT-BTC ngày 13/6/2025 của Bộ trưởng Bộ Tài chính)</w:t>
            </w:r>
          </w:p>
        </w:tc>
        <w:tc>
          <w:p/>
          <w:p>
            <w:pPr>
              <w:spacing w:after="0" w:before="0" w:lineRule="auto" w:line="276"/>
              <w:jc w:val="left"/>
            </w:pPr>
            <w:r>
              <w:rPr>
                <w:rFonts w:ascii="Times New Roman" w:hAnsi="Times New Roman" w:cs="Times New Roman" w:eastAsia="Times New Roman"/>
                <w:b w:val="false"/>
                <w:sz w:val="26"/>
              </w:rPr>
              <w:t>Mus01-3TTB.docx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sở/Chi cục Thuế Doanh nghiệp lớn.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(đã được sửa đổi, bổ sung theo Thông tư số 46/2024/TT-BTC ngày 09/7/2024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2026-10-25T11:27:45Z</dcterms:created>
  <dc:creator>Apache POI</dc:creator>
</cp:coreProperties>
</file>