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hồ sơ</w:t>
      </w:r>
    </w:p>
    <w:p>
      <w:pPr>
        <w:spacing w:after="0" w:before="0" w:lineRule="auto" w:line="276"/>
        <w:jc w:val="both"/>
      </w:pPr>
      <w:r>
        <w:rPr>
          <w:rFonts w:ascii="Times New Roman" w:hAnsi="Times New Roman" w:cs="Times New Roman" w:eastAsia="Times New Roman"/>
          <w:b w:val="false"/>
          <w:sz w:val="26"/>
        </w:rPr>
        <w:t xml:space="preserve"> Hồ sơ đăng ký hợp đồng chuyển quyền sử dụng đối tượng sở hữu công nghiệp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hồ sơ. Trường hợp hồ sơ đăng ký không có thiếu sót:</w:t>
      </w:r>
    </w:p>
    <w:p>
      <w:pPr>
        <w:spacing w:after="0" w:before="0" w:lineRule="auto" w:line="276"/>
        <w:jc w:val="both"/>
      </w:pPr>
      <w:r>
        <w:rPr>
          <w:rFonts w:ascii="Times New Roman" w:hAnsi="Times New Roman" w:cs="Times New Roman" w:eastAsia="Times New Roman"/>
          <w:b w:val="false"/>
          <w:sz w:val="26"/>
        </w:rPr>
        <w:t>+ Cục Sở hữu trí tuệ ra quyết định cấp Giấy chứng nhận đăng ký hợp đồng chuyển quyền sử dụng đối tượng sở hữu công nghiệp;
</w:t>
      </w:r>
    </w:p>
    <w:p>
      <w:pPr>
        <w:spacing w:after="0" w:before="0" w:lineRule="auto" w:line="276"/>
        <w:jc w:val="both"/>
      </w:pPr>
      <w:r>
        <w:rPr>
          <w:rFonts w:ascii="Times New Roman" w:hAnsi="Times New Roman" w:cs="Times New Roman" w:eastAsia="Times New Roman"/>
          <w:b w:val="false"/>
          <w:sz w:val="26"/>
        </w:rPr>
        <w:t>+ Ghi nhận vào Sổ đăng ký quốc gia về chuyển giao quyền sở hữu công nghiệp;
</w:t>
      </w:r>
    </w:p>
    <w:p>
      <w:pPr>
        <w:spacing w:after="0" w:before="0" w:lineRule="auto" w:line="276"/>
        <w:jc w:val="both"/>
      </w:pPr>
      <w:r>
        <w:rPr>
          <w:rFonts w:ascii="Times New Roman" w:hAnsi="Times New Roman" w:cs="Times New Roman" w:eastAsia="Times New Roman"/>
          <w:b w:val="false"/>
          <w:sz w:val="26"/>
        </w:rPr>
        <w:t>+ Công bố quyết định cấp Giấy chứng nhận đăng ký hợp đồng chuyển quyền sử dụng đối tượng sở hữu công nghiệp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2: Xử lý hồ sơ. Trường hợp hồ sơ đăng ký có thiếu sót:</w:t>
      </w:r>
    </w:p>
    <w:p>
      <w:pPr>
        <w:spacing w:after="0" w:before="0" w:lineRule="auto" w:line="276"/>
        <w:jc w:val="both"/>
      </w:pPr>
      <w:r>
        <w:rPr>
          <w:rFonts w:ascii="Times New Roman" w:hAnsi="Times New Roman" w:cs="Times New Roman" w:eastAsia="Times New Roman"/>
          <w:b w:val="false"/>
          <w:sz w:val="26"/>
        </w:rPr>
        <w:t>+ Cục Sở hữu trí tuệ ra thông báo dự định từ chối đăng ký hợp đồng, nêu rõ các thiếu sót của hồ sơ, ấn định thời hạn 02 tháng kể từ ngày ký thông báo để người nộp hồ sơ sửa chữa các thiếu sót hoặc có ý kiến phản đối về dự định từ chối đăng ký hợp đồng;</w:t>
      </w:r>
    </w:p>
    <w:p>
      <w:pPr>
        <w:spacing w:after="0" w:before="0" w:lineRule="auto" w:line="276"/>
        <w:jc w:val="both"/>
      </w:pPr>
      <w:r>
        <w:rPr>
          <w:rFonts w:ascii="Times New Roman" w:hAnsi="Times New Roman" w:cs="Times New Roman" w:eastAsia="Times New Roman"/>
          <w:b w:val="false"/>
          <w:sz w:val="26"/>
        </w:rPr>
        <w:t>+ Ra quyết định từ chối đăng ký hợp đồng nếu người nộp hồ sơ không sửa chữa hoặc sửa chữa thiếu sót không đạt yêu cầu, không có ý kiến phản đối hoặc ý kiến phản đối không xác đáng về dự định từ chối đăng ký hợp đồng trong thời hạn đã được ấn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D.02 Đăng ký HĐLX.doc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quyền sử dụng đối tượng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(bản gốc hoặc bản sao được chứng thực theo quy định); nếu hợp đồng làm bằng ngôn ngữ khác tiếng Việt thì phải kèm theo bản dịch hợp đồng ra tiếng Việt;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đồng chuyển quyền sử dụng đối tượng sở hữu công nghiệp, Quyết định cấp Giấy chứng nhận đăng ký hợp đồng chuyển quyền sử dụng đối tượng sở hữu công nghiệp, Quyết định từ chối cấp Giấy chứng nhận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2026-10-25T10:37:40Z</dcterms:created>
  <dc:creator>Apache POI</dc:creator>
</cp:coreProperties>
</file>