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hợp đồng chuyển nhượng quyền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hồ sơ</w:t>
      </w:r>
    </w:p>
    <w:p>
      <w:pPr>
        <w:spacing w:after="0" w:before="0" w:lineRule="auto" w:line="276"/>
        <w:jc w:val="both"/>
      </w:pPr>
      <w:r>
        <w:rPr>
          <w:rFonts w:ascii="Times New Roman" w:hAnsi="Times New Roman" w:cs="Times New Roman" w:eastAsia="Times New Roman"/>
          <w:b w:val="false"/>
          <w:sz w:val="26"/>
        </w:rPr>
        <w:t>Hồ sơ đăng ký hợp đồng chuyển nhượng quyền sở hữu công nghiệp có thể nộp trực tiếp hoặc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xml:space="preserve"> Bước 2: Xử lý hồ sơ. Trường hợp hồ sơ đăng ký không có thiếu sót:</w:t>
      </w:r>
    </w:p>
    <w:p>
      <w:pPr>
        <w:spacing w:after="0" w:before="0" w:lineRule="auto" w:line="276"/>
        <w:jc w:val="both"/>
      </w:pPr>
      <w:r>
        <w:rPr>
          <w:rFonts w:ascii="Times New Roman" w:hAnsi="Times New Roman" w:cs="Times New Roman" w:eastAsia="Times New Roman"/>
          <w:b w:val="false"/>
          <w:sz w:val="26"/>
        </w:rPr>
        <w:t>+ Cục Sở hữu trí tuệ ra quyết định ghi nhận[1] chuyển nhượng quyền sở hữu công nghiệp;
</w:t>
      </w:r>
    </w:p>
    <w:p>
      <w:pPr>
        <w:spacing w:after="0" w:before="0" w:lineRule="auto" w:line="276"/>
        <w:jc w:val="both"/>
      </w:pPr>
      <w:r>
        <w:rPr>
          <w:rFonts w:ascii="Times New Roman" w:hAnsi="Times New Roman" w:cs="Times New Roman" w:eastAsia="Times New Roman"/>
          <w:b w:val="false"/>
          <w:sz w:val="26"/>
        </w:rPr>
        <w:t>+ Ghi nhận vào Văn bằng bảo hộ chủ sở hữu mới; trong trường  hợp chuyển nhượng một phần danh mục hàng hóa, dịch vụ mang nhãn hiệu được bảo hộ thì cấp Giấy chứng nhận đăng ký nhãn hiệu mới cho bên nhận và xác định giới hạn danh mục hàng hóa/dịch vụ trong Văn bằng bảo hộ gốc đối với phần chuyển nhượng đó;
</w:t>
      </w:r>
    </w:p>
    <w:p>
      <w:pPr>
        <w:spacing w:after="0" w:before="0" w:lineRule="auto" w:line="276"/>
        <w:jc w:val="both"/>
      </w:pPr>
      <w:r>
        <w:rPr>
          <w:rFonts w:ascii="Times New Roman" w:hAnsi="Times New Roman" w:cs="Times New Roman" w:eastAsia="Times New Roman"/>
          <w:b w:val="false"/>
          <w:sz w:val="26"/>
        </w:rPr>
        <w:t>+ Ghi nhận vào Sổ đăng ký quốc gia về chuyển giao quyền sở hữu công nghiệp;
</w:t>
      </w:r>
    </w:p>
    <w:p>
      <w:pPr>
        <w:spacing w:after="0" w:before="0" w:lineRule="auto" w:line="276"/>
        <w:jc w:val="both"/>
      </w:pPr>
      <w:r>
        <w:rPr>
          <w:rFonts w:ascii="Times New Roman" w:hAnsi="Times New Roman" w:cs="Times New Roman" w:eastAsia="Times New Roman"/>
          <w:b w:val="false"/>
          <w:sz w:val="26"/>
        </w:rPr>
        <w:t>+ Công bố quyết định ghi nhận chuyển nhượng quyền sở hữu công nghiệp trên Công báo sở hữu công nghiệp.
</w:t>
      </w:r>
    </w:p>
    <w:p>
      <w:pPr>
        <w:shd w:val="clear" w:color="auto" w:fill="F2F6F9"/>
        <w:spacing w:after="0" w:before="120" w:lineRule="auto" w:line="276"/>
        <w:jc w:val="both"/>
      </w:pPr>
      <w:r>
        <w:rPr>
          <w:rFonts w:ascii="Times New Roman" w:hAnsi="Times New Roman" w:cs="Times New Roman" w:eastAsia="Times New Roman"/>
          <w:b w:val="true"/>
          <w:sz w:val="26"/>
        </w:rPr>
        <w:t xml:space="preserve"> Bước 2: Xử lý hồ sơ. Trường hợp hồ sơ đăng ký có thiếu sót:</w:t>
      </w:r>
    </w:p>
    <w:p>
      <w:pPr>
        <w:spacing w:after="0" w:before="0" w:lineRule="auto" w:line="276"/>
        <w:jc w:val="both"/>
      </w:pPr>
      <w:r>
        <w:rPr>
          <w:rFonts w:ascii="Times New Roman" w:hAnsi="Times New Roman" w:cs="Times New Roman" w:eastAsia="Times New Roman"/>
          <w:b w:val="false"/>
          <w:sz w:val="26"/>
        </w:rPr>
        <w:t>+ Cục Sở hữu trí tuệ ra thông báo dự định từ chối đăng ký hợp đồng, nêu rõ các thiếu sót của hồ sơ để người nộp hồ sơ sửa chữa các thiếu sót hoặc có ý kiến phản hồi về dự định từ chối đăng ký hợp đồng;
</w:t>
      </w:r>
    </w:p>
    <w:p>
      <w:pPr>
        <w:spacing w:after="0" w:before="0" w:lineRule="auto" w:line="276"/>
        <w:jc w:val="both"/>
      </w:pPr>
      <w:r>
        <w:rPr>
          <w:rFonts w:ascii="Times New Roman" w:hAnsi="Times New Roman" w:cs="Times New Roman" w:eastAsia="Times New Roman"/>
          <w:b w:val="false"/>
          <w:sz w:val="26"/>
        </w:rPr>
        <w:t>+ Ra quyết định từ chối ghi nhận chuyển nhượng nếu người nộp hồ sơ không sửa chữa hoặc sửa chữa thiếu sót không đạt yêu cầu, không có ý kiến phản đối hoặc ý kiến phản đối không xác đáng về dự định từ chối đăng ký hợp đồng trong thời hạn đã được ấn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(Phí đăng bạ Quyết định chuyển nhượng quyền sở hữu công nghiệp:)</w:t>
            </w:r>
          </w:p>
          <w:p>
            <w:pPr>
              <w:spacing w:after="0" w:before="0" w:lineRule="auto" w:line="276"/>
              <w:jc w:val="left"/>
            </w:pPr>
            <w:r>
              <w:rPr>
                <w:rFonts w:ascii="Times New Roman" w:hAnsi="Times New Roman" w:cs="Times New Roman" w:eastAsia="Times New Roman"/>
                <w:b w:val="false"/>
                <w:sz w:val="26"/>
              </w:rPr>
              <w:t>Phí : 120.000 Đồng</w:t>
              <w:t xml:space="preserve"> (Phí công bố Quyết định chuyển nhượng quyền sở hữu công nghiệp:)</w:t>
            </w:r>
          </w:p>
          <w:p>
            <w:pPr>
              <w:spacing w:after="0" w:before="0" w:lineRule="auto" w:line="276"/>
              <w:jc w:val="left"/>
            </w:pPr>
            <w:r>
              <w:rPr>
                <w:rFonts w:ascii="Times New Roman" w:hAnsi="Times New Roman" w:cs="Times New Roman" w:eastAsia="Times New Roman"/>
                <w:b w:val="false"/>
                <w:sz w:val="26"/>
              </w:rPr>
              <w:t>Phí : 230.000 Đồng</w:t>
              <w:t xml:space="preserve"> (Phí thẩm định hồ sơ đăng ký hợp đồng chuyển nhượng quyền sở hữu công nghiệp (mỗi đối tượng):)</w:t>
            </w:r>
          </w:p>
          <w:p>
            <w:pPr>
              <w:spacing w:after="0" w:before="0" w:lineRule="auto" w:line="276"/>
              <w:jc w:val="left"/>
            </w:pPr>
            <w:r>
              <w:rPr>
                <w:rFonts w:ascii="Times New Roman" w:hAnsi="Times New Roman" w:cs="Times New Roman" w:eastAsia="Times New Roman"/>
                <w:b w:val="false"/>
                <w:sz w:val="26"/>
              </w:rPr>
              <w:t>Phí : 550.000 Đồng</w:t>
              <w:t xml:space="preserve"> (Phí thẩm định đơn (mỗi đối tượng):550.000 đồng (trường hợp chuyển nhượng nhãn hiệu tập thể, nhãn hiệu chứng nhận))</w:t>
            </w:r>
          </w:p>
          <w:p>
            <w:pPr>
              <w:spacing w:after="0" w:before="0" w:lineRule="auto" w:line="276"/>
              <w:jc w:val="left"/>
            </w:pPr>
            <w:r>
              <w:rPr>
                <w:rFonts w:ascii="Times New Roman" w:hAnsi="Times New Roman" w:cs="Times New Roman" w:eastAsia="Times New Roman"/>
                <w:b w:val="false"/>
                <w:sz w:val="26"/>
              </w:rPr>
              <w:t>Phí : 600.000 Đồng</w:t>
              <w:t xml:space="preserve"> (Phí tra cứu nhãn hiệu liên kết (mỗi đối tượng):)</w:t>
            </w:r>
          </w:p>
        </w:tc>
        <w:tc>
          <w:p/>
          <w:p>
            <w:pPr>
              <w:spacing w:after="0" w:before="0" w:lineRule="auto" w:line="276"/>
              <w:jc w:val="left"/>
            </w:pPr>
            <w:r>
              <w:rPr>
                <w:rFonts w:ascii="Times New Roman" w:hAnsi="Times New Roman" w:cs="Times New Roman" w:eastAsia="Times New Roman"/>
                <w:b w:val="false"/>
                <w:sz w:val="26"/>
              </w:rPr>
              <w:t>02 tháng kể từ ngày tiếp nhận hồ sơ (không bao gồm thời gian dành cho người nộp hồ sơ sửa chữa thiếu sót).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(Phí công bố Quyết định chuyển nhượng quyền sở hữu công nghiệp:)</w:t>
            </w:r>
          </w:p>
          <w:p>
            <w:pPr>
              <w:spacing w:after="0" w:before="0" w:lineRule="auto" w:line="276"/>
              <w:jc w:val="left"/>
            </w:pPr>
            <w:r>
              <w:rPr>
                <w:rFonts w:ascii="Times New Roman" w:hAnsi="Times New Roman" w:cs="Times New Roman" w:eastAsia="Times New Roman"/>
                <w:b w:val="false"/>
                <w:sz w:val="26"/>
              </w:rPr>
              <w:t>Phí : 120.000 Đồng</w:t>
              <w:t xml:space="preserve"> (Phí đăng bạ Quyết định chuyển nhượng quyền sở hữu công nghiệp:)</w:t>
            </w:r>
          </w:p>
          <w:p>
            <w:pPr>
              <w:spacing w:after="0" w:before="0" w:lineRule="auto" w:line="276"/>
              <w:jc w:val="left"/>
            </w:pPr>
            <w:r>
              <w:rPr>
                <w:rFonts w:ascii="Times New Roman" w:hAnsi="Times New Roman" w:cs="Times New Roman" w:eastAsia="Times New Roman"/>
                <w:b w:val="false"/>
                <w:sz w:val="26"/>
              </w:rPr>
              <w:t>Phí : 230.000 Đồng</w:t>
              <w:t xml:space="preserve"> (Phí thẩm định hồ sơ đăng ký hợp đồng chuyển nhượng quyền sở hữu công nghiệp (mỗi đối tượng):)</w:t>
            </w:r>
          </w:p>
          <w:p>
            <w:pPr>
              <w:spacing w:after="0" w:before="0" w:lineRule="auto" w:line="276"/>
              <w:jc w:val="left"/>
            </w:pPr>
            <w:r>
              <w:rPr>
                <w:rFonts w:ascii="Times New Roman" w:hAnsi="Times New Roman" w:cs="Times New Roman" w:eastAsia="Times New Roman"/>
                <w:b w:val="false"/>
                <w:sz w:val="26"/>
              </w:rPr>
              <w:t>Phí : 550.000 Đồng</w:t>
              <w:t xml:space="preserve"> (Phí thẩm định đơn (mỗi đối tượng):550.000 đồng (trường hợp chuyển nhượng nhãn hiệu tập thể, nhãn hiệu chứng nhận))</w:t>
            </w:r>
          </w:p>
          <w:p>
            <w:pPr>
              <w:spacing w:after="0" w:before="0" w:lineRule="auto" w:line="276"/>
              <w:jc w:val="left"/>
            </w:pPr>
            <w:r>
              <w:rPr>
                <w:rFonts w:ascii="Times New Roman" w:hAnsi="Times New Roman" w:cs="Times New Roman" w:eastAsia="Times New Roman"/>
                <w:b w:val="false"/>
                <w:sz w:val="26"/>
              </w:rPr>
              <w:t>Phí : 600.000 Đồng</w:t>
              <w:t xml:space="preserve"> (Phí tra cứu nhãn hiệu liên kết (mỗi đối tượng):)</w:t>
            </w:r>
          </w:p>
        </w:tc>
        <w:tc>
          <w:p/>
          <w:p>
            <w:pPr>
              <w:spacing w:after="0" w:before="0" w:lineRule="auto" w:line="276"/>
              <w:jc w:val="left"/>
            </w:pPr>
            <w:r>
              <w:rPr>
                <w:rFonts w:ascii="Times New Roman" w:hAnsi="Times New Roman" w:cs="Times New Roman" w:eastAsia="Times New Roman"/>
                <w:b w:val="false"/>
                <w:sz w:val="26"/>
              </w:rPr>
              <w:t>02 tháng kể từ ngày tiếp nhận hồ sơ (không bao gồm thời gian dành cho người nộp hồ sơ sửa chữa thiếu sót).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uỷ quyền (nếu nộp hồ sơ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w:t>
            </w:r>
          </w:p>
        </w:tc>
        <w:tc>
          <w:p/>
          <w:p>
            <w:pPr>
              <w:spacing w:after="0" w:before="0" w:lineRule="auto" w:line="276"/>
              <w:jc w:val="left"/>
            </w:pPr>
            <w:r>
              <w:rPr>
                <w:rFonts w:ascii="Times New Roman" w:hAnsi="Times New Roman" w:cs="Times New Roman" w:eastAsia="Times New Roman"/>
                <w:b w:val="false"/>
                <w:sz w:val="26"/>
              </w:rPr>
              <w:t>D.01 Đăng ký hợp đồng chuyển nhượng.doc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hợp đồng (bản gốc hoặc bản sao được chứng thực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hợp đồng làm bằng ngôn ngữ khác tiếng Việt thì phải kèm theo bản dịch hợp đồng ra tiếng Việt; hợp đồng có nhiều trang thì từng trang phải có chữ ký xác nhận của các bên hoặc đóng dấu giáp lai.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văn bằng bảo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đồng ý của các đồng chủ sở hữu về việc chuyển nhượng quyền sở hữu công nghiệp, nếu quyền sở hữu công nghiệp tương ứng thuộc sở hữu chung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sử dụng nhãn hiệu tập thể, quy chế sử dụng nhãn hiệu chứng nhận và tài liệu chứng minh quyền nộp đơn của Bên nhận chuyển nhượng trong trường hợp chuyển nhượng nhãn hiệu chứng nhận, nhãn hiệu tập th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ghi nhận chuyển nhượng quyền sở hữu công nghiệp, Quyết định từ chối ghi nhận chuyển nhượng quyền sở hữu công nghiệp, Ghi nhận vào văn bằng bảo hộ chủ sở hữu mới và xác định giới hạn danh mục hàng hóa/dịch vụ trong văn bằng bảo hộ gốc đối với phần chuyển nhượng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22/2009/TT-BTC</w:t>
            </w:r>
          </w:p>
        </w:tc>
        <w:tc>
          <w:p/>
          <w:p>
            <w:pPr>
              <w:spacing w:after="0" w:before="0" w:lineRule="auto" w:line="276"/>
              <w:jc w:val="left"/>
            </w:pPr>
            <w:r>
              <w:rPr>
                <w:rFonts w:ascii="Times New Roman" w:hAnsi="Times New Roman" w:cs="Times New Roman" w:eastAsia="Times New Roman"/>
                <w:b w:val="false"/>
                <w:sz w:val="26"/>
              </w:rPr>
              <w:t>Thông tư 22/2009/TT-BTC</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hợp đồng chuyển nhượng quyền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2026-10-25T14:53:01Z</dcterms:created>
  <dc:creator>Apache POI</dc:creator>
</cp:coreProperties>
</file>