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sáng chế theo Hiệp ước PCT có nguồn gốc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Bước 1: Tiếp nhận đơn</w:t>
      </w:r>
    </w:p>
    <w:p>
      <w:pPr>
        <w:spacing w:after="0" w:before="0" w:lineRule="auto" w:line="276"/>
        <w:jc w:val="both"/>
      </w:pPr>
      <w:r>
        <w:rPr>
          <w:rFonts w:ascii="Times New Roman" w:hAnsi="Times New Roman" w:cs="Times New Roman" w:eastAsia="Times New Roman"/>
          <w:b w:val="false"/>
          <w:sz w:val="26"/>
        </w:rPr>
        <w:t>Đơn đăng ký có thể nộp trực tiếp hoặc gửi qua bưu điện tới trụ sở Cục Sở hữu trí tuệ tại Hà Nội hoặc 2 Văn phòng đại diện của Cục tại TP. Hồ Chí Minh và Đà Nẵng.
</w:t>
      </w:r>
    </w:p>
    <w:p>
      <w:pPr>
        <w:shd w:val="clear" w:color="auto" w:fill="F2F6F9"/>
        <w:spacing w:after="0" w:before="120" w:lineRule="auto" w:line="276"/>
        <w:jc w:val="both"/>
      </w:pPr>
      <w:r>
        <w:rPr>
          <w:rFonts w:ascii="Times New Roman" w:hAnsi="Times New Roman" w:cs="Times New Roman" w:eastAsia="Times New Roman"/>
          <w:b w:val="true"/>
          <w:sz w:val="26"/>
        </w:rPr>
        <w:t>- Bước 2: Xử lý đơn. Cục Sở hữu trí tuệ sẽ:</w:t>
      </w:r>
    </w:p>
    <w:p>
      <w:pPr>
        <w:spacing w:after="0" w:before="0" w:lineRule="auto" w:line="276"/>
        <w:jc w:val="both"/>
      </w:pPr>
      <w:r>
        <w:rPr>
          <w:rFonts w:ascii="Times New Roman" w:hAnsi="Times New Roman" w:cs="Times New Roman" w:eastAsia="Times New Roman"/>
          <w:b w:val="false"/>
          <w:sz w:val="26"/>
        </w:rPr>
        <w:t>+ Xác định đối tượng yêu cầu bảo hộ có thuộc diện bí mật quốc gia hay không; 
</w:t>
      </w:r>
    </w:p>
    <w:p>
      <w:pPr>
        <w:spacing w:after="0" w:before="0" w:lineRule="auto" w:line="276"/>
        <w:jc w:val="both"/>
      </w:pPr>
      <w:r>
        <w:rPr>
          <w:rFonts w:ascii="Times New Roman" w:hAnsi="Times New Roman" w:cs="Times New Roman" w:eastAsia="Times New Roman"/>
          <w:b w:val="false"/>
          <w:sz w:val="26"/>
        </w:rPr>
        <w:t>+ Thông báo các khoản phí[1], lệ phí cần phải nộp và thông báo cho người nộp đơn để chuyển cho Văn phòng quốc tế;
</w:t>
      </w:r>
    </w:p>
    <w:p>
      <w:pPr>
        <w:spacing w:after="0" w:before="0" w:lineRule="auto" w:line="276"/>
        <w:jc w:val="both"/>
      </w:pPr>
      <w:r>
        <w:rPr>
          <w:rFonts w:ascii="Times New Roman" w:hAnsi="Times New Roman" w:cs="Times New Roman" w:eastAsia="Times New Roman"/>
          <w:b w:val="false"/>
          <w:sz w:val="26"/>
        </w:rPr>
        <w:t>+ Gửi một bản (bản hồ sơ) của đơn quốc tế có nguồn gốc Việt Nam cho Văn phòng quốc tế và một bản (bản tra cứu) cho cơ quan tra cứu quốc tế.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300000 Đồng</w:t>
              <w:t xml:space="preserve"> (Phí kiểm tra sơ bộ về mặt hình thức đơn sáng chế quốc tế để nộp cho văn phòng quốc tế và cơ quan tra cứu quốc tế (không bao gồm các khoản phí phải nộp cho Văn phòng quốc tế và phí bưu điện):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300000 Đồng</w:t>
              <w:t xml:space="preserve"> (Phí kiểm tra sơ bộ về mặt hình thức đơn sáng chế quốc tế để nộp cho văn phòng quốc tế và cơ quan tra cứu quốc tế (không bao gồm các khoản phí phải nộp cho Văn phòng quốc tế và phí bưu điện):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quốc tế nguồn gốc Việt Nam phải được làm bằng tiếng Anh</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nộp lệ phí đơn đăng ký sáng chế theo Hiệp ước PCT (Trong trường hợp hồ sơ hợp lệ), Thông báo kết quả thẩm định hình thức đơn đăng ký sáng chế theo Hiệp ước PCT (Trong trường hợp hồ sơ không hợp lệ)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50/2005/QH11 </w:t>
            </w:r>
          </w:p>
        </w:tc>
        <w:tc>
          <w:p/>
          <w:p>
            <w:pPr>
              <w:spacing w:after="0" w:before="0" w:lineRule="auto" w:line="276"/>
              <w:jc w:val="left"/>
            </w:pPr>
            <w:r>
              <w:rPr>
                <w:rFonts w:ascii="Times New Roman" w:hAnsi="Times New Roman" w:cs="Times New Roman" w:eastAsia="Times New Roman"/>
                <w:b w:val="false"/>
                <w:sz w:val="26"/>
              </w:rPr>
              <w:t>Luật 50/2005/QH11</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36/2009/QH12 </w:t>
            </w:r>
          </w:p>
        </w:tc>
        <w:tc>
          <w:p/>
          <w:p>
            <w:pPr>
              <w:spacing w:after="0" w:before="0" w:lineRule="auto" w:line="276"/>
              <w:jc w:val="left"/>
            </w:pPr>
            <w:r>
              <w:rPr>
                <w:rFonts w:ascii="Times New Roman" w:hAnsi="Times New Roman" w:cs="Times New Roman" w:eastAsia="Times New Roman"/>
                <w:b w:val="false"/>
                <w:sz w:val="26"/>
              </w:rPr>
              <w:t>Luật 36/2009/QH12</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18/2011/TT-BKHCN</w:t>
            </w:r>
          </w:p>
        </w:tc>
        <w:tc>
          <w:p/>
          <w:p>
            <w:pPr>
              <w:spacing w:after="0" w:before="0" w:lineRule="auto" w:line="276"/>
              <w:jc w:val="left"/>
            </w:pPr>
            <w:r>
              <w:rPr>
                <w:rFonts w:ascii="Times New Roman" w:hAnsi="Times New Roman" w:cs="Times New Roman" w:eastAsia="Times New Roman"/>
                <w:b w:val="false"/>
                <w:sz w:val="26"/>
              </w:rPr>
              <w:t>Thông tư 18/2011/TT-BKHCN-Sửa đổi, bổ sung một số quy định của Thông tư số 01/2007/TT-BKHCN ngày 14/02/2007, được sửa đổi, bổ sung theo Thông tư số 13/2010/TT-BKHCN ngày 31/7/2010 và Thông tư số 01/2008/TT-BKHCN ngày 25/02/2008, được sửa đổi, bổ sung theo Thông tư số 04/2009/TT-BKHCN ngày 27/3/2009</w:t>
            </w:r>
          </w:p>
        </w:tc>
        <w:tc>
          <w:p/>
          <w:p>
            <w:pPr>
              <w:spacing w:after="0" w:before="0" w:lineRule="auto" w:line="276"/>
              <w:jc w:val="left"/>
            </w:pPr>
            <w:r>
              <w:rPr>
                <w:rFonts w:ascii="Times New Roman" w:hAnsi="Times New Roman" w:cs="Times New Roman" w:eastAsia="Times New Roman"/>
                <w:b w:val="false"/>
                <w:sz w:val="26"/>
              </w:rPr>
              <w:t>22-07-2011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13/2010/TT-BKHCN</w:t>
            </w:r>
          </w:p>
        </w:tc>
        <w:tc>
          <w:p/>
          <w:p>
            <w:pPr>
              <w:spacing w:after="0" w:before="0" w:lineRule="auto" w:line="276"/>
              <w:jc w:val="left"/>
            </w:pPr>
            <w:r>
              <w:rPr>
                <w:rFonts w:ascii="Times New Roman" w:hAnsi="Times New Roman" w:cs="Times New Roman" w:eastAsia="Times New Roman"/>
                <w:b w:val="false"/>
                <w:sz w:val="26"/>
              </w:rPr>
              <w:t>Thông tư 13/2010/TT-BKHCN-Sửa đổi, bổ sung một số quy định của Thông tư số 17/2009/TT-BKHCN ngày 18/6/2009 và Thông tư số 01/2007/TT-BKHCN ngày 14/02/2007</w:t>
            </w:r>
          </w:p>
        </w:tc>
        <w:tc>
          <w:p/>
          <w:p>
            <w:pPr>
              <w:spacing w:after="0" w:before="0" w:lineRule="auto" w:line="276"/>
              <w:jc w:val="left"/>
            </w:pPr>
            <w:r>
              <w:rPr>
                <w:rFonts w:ascii="Times New Roman" w:hAnsi="Times New Roman" w:cs="Times New Roman" w:eastAsia="Times New Roman"/>
                <w:b w:val="false"/>
                <w:sz w:val="26"/>
              </w:rPr>
              <w:t>30-07-2010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05/2013/TT-BKHCN</w:t>
            </w:r>
          </w:p>
        </w:tc>
        <w:tc>
          <w:p/>
          <w:p>
            <w:pPr>
              <w:spacing w:after="0" w:before="0" w:lineRule="auto" w:line="276"/>
              <w:jc w:val="left"/>
            </w:pPr>
            <w:r>
              <w:rPr>
                <w:rFonts w:ascii="Times New Roman" w:hAnsi="Times New Roman" w:cs="Times New Roman" w:eastAsia="Times New Roman"/>
                <w:b w:val="false"/>
                <w:sz w:val="26"/>
              </w:rPr>
              <w:t>Thông tư 05/2013/TT-BKHCN-Sửa đổi, bổ sung một số điều của Thông tư số 01/2007/TT-BKHCN ngày 14/02/2007 hướng dẫn thi hành Nghị định số 103/2006/NĐ-CP quy định chi tiết một số điều của Luật Sở hữu trí tuệ về sở hữu công nghiệp, được sửa đổi, bổ sung theo Thông tư số 13/2010/TT-BKHCN ngày 30/7/2010 và Thông tư số 18/2011/TT-BKHCN ngày 22/7/2011</w:t>
            </w:r>
          </w:p>
        </w:tc>
        <w:tc>
          <w:p/>
          <w:p>
            <w:pPr>
              <w:spacing w:after="0" w:before="0" w:lineRule="auto" w:line="276"/>
              <w:jc w:val="left"/>
            </w:pPr>
            <w:r>
              <w:rPr>
                <w:rFonts w:ascii="Times New Roman" w:hAnsi="Times New Roman" w:cs="Times New Roman" w:eastAsia="Times New Roman"/>
                <w:b w:val="false"/>
                <w:sz w:val="26"/>
              </w:rPr>
              <w:t>20-02-2013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sáng chế theo Hiệp ước PCT có nguồn gốc Việt Nam</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2026-10-22T03:41:45Z</dcterms:created>
  <dc:creator>Apache POI</dc:creator>
</cp:coreProperties>
</file>