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chọn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đơn[1]).</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 Được tiến hành khi có yêu cầu thẩm định nội dung;
</w:t>
      </w:r>
    </w:p>
    <w:p>
      <w:pPr>
        <w:spacing w:after="0" w:before="0" w:lineRule="auto" w:line="276"/>
        <w:jc w:val="both"/>
      </w:pPr>
      <w:r>
        <w:rPr>
          <w:rFonts w:ascii="Times New Roman" w:hAnsi="Times New Roman" w:cs="Times New Roman" w:eastAsia="Times New Roman"/>
          <w:b w:val="false"/>
          <w:sz w:val="26"/>
        </w:rPr>
        <w:t>+ Đánh giá khả năng được bảo hộ của đối tượng nêu trong đơn theo các điều kiện bảo hộ (tính mới, trình độ sáng tạo,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	)</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	)</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đơn quốc tế: bản mô tả, gồm phần mô tả, yêu cầu bảo hộ, chú thích các hình vẽ và bản tóm tắt (bản công bố hoặc bản gốc nộp ban đầu, nếu đơn chưa được công bố và bản sửa đổi và bản giải thích phần sửa đổi, nếu đơn quốc tế có sửa đổi theo Điều 19 và/hoặc Điều 34(2)(b) của Hiệp ước)</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các phụ lục báo cáo xét nghiệm sơ bộ quốc tế (khi có yêu cầu thẩm định nội dung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
- Việc chọn Việt Nam phải được thực hiện trong thời hạn 22 tháng kể từ ngày ưu tiên hoặc 03 tháng kể từ ngày báo cáo tra cứu quốc tế được chuyển tới người nộp đơn hoặc thực hiện việc công bố theo Điều 17.2 (a) của Hiệp ước hoặc đưa ra ý kiến chính thức theo Quy tắc 43bis của Quy chế thi hành Hiệp ước, tùy theo thời điểm nào kết thúc muộn hơn. Để được vào giai đoạn quốc gia, trong thời hạn 31 tháng kể từ ngày nộp đơn quốc tế hoặc kể từ ngày ưu tiên (nếu đơn có yêu cầu hưởng quyền ưu tiên)[1], người nộp đơn phải nộp đơn cho Cục Sở hữu trí tuệ.
- Người nộp đơn không được nộp đơn trực tiếp mà phải thông qua một đại diện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sáng chế theo Hiệp ước PCT có chọn Việt Nam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2026-06-17T04:36:53Z</dcterms:created>
  <dc:creator>Apache POI</dc:creator>
</cp:coreProperties>
</file>