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Đơn đăng ký có thể nộp trực tiếp hoặc gửi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 ).
+ Trường hợp đơn hợp lệ, Cục Sở hữu trí tuệ ra quyết định chấp nhận đơn hợp lệ;
+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w:t>
      </w:r>
    </w:p>
    <w:p>
      <w:pPr>
        <w:spacing w:after="0" w:before="0" w:lineRule="auto" w:line="276"/>
        <w:jc w:val="both"/>
      </w:pPr>
      <w:r>
        <w:rPr>
          <w:rFonts w:ascii="Times New Roman" w:hAnsi="Times New Roman" w:cs="Times New Roman" w:eastAsia="Times New Roman"/>
          <w:b w:val="false"/>
          <w:sz w:val="26"/>
        </w:rPr>
        <w:t>Bước 3: Công bố đơn 
Sau khi có quyết định chấp nhận đơn hợp lệ, đơn sẽ được công bố trên Công báo sở hữu công nghiệp.</w:t>
      </w:r>
    </w:p>
    <w:p>
      <w:pPr>
        <w:spacing w:after="0" w:before="0" w:lineRule="auto" w:line="276"/>
        <w:jc w:val="both"/>
      </w:pPr>
      <w:r>
        <w:rPr>
          <w:rFonts w:ascii="Times New Roman" w:hAnsi="Times New Roman" w:cs="Times New Roman" w:eastAsia="Times New Roman"/>
          <w:b w:val="false"/>
          <w:sz w:val="26"/>
        </w:rPr>
        <w:t>Bước 4: Thẩm định nội dung đơn
+ Được tiến hành khi có yêu cầu thẩm định nội dung;
+ Đánh giá khả năng được bảo hộ của đối tượng nêu trong đơn theo các điều kiện bảo hộ (tính mới, trình độ sáng tạo, khả năng áp dụng công nghiệp), qua đó xác định phạm vi bảo hộ tương ứng.</w:t>
      </w:r>
    </w:p>
    <w:p>
      <w:pPr>
        <w:spacing w:after="0" w:before="0" w:lineRule="auto" w:line="276"/>
        <w:jc w:val="both"/>
      </w:pPr>
      <w:r>
        <w:rPr>
          <w:rFonts w:ascii="Times New Roman" w:hAnsi="Times New Roman" w:cs="Times New Roman" w:eastAsia="Times New Roman"/>
          <w:b w:val="false"/>
          <w:sz w:val="26"/>
        </w:rPr>
        <w:t>Bước 5: Ra quyết định cấp/từ chối cấp văn bằng bảo hộ
+ Nếu đối tượng nêu trong đơn không đáp ứng được các yêu cầu về bảo hộ, Cục Sở hữu trí tuệ ra quyết định từ chối cấp văn bằng bảo hộ;
+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trực tiếp tại trụ sở Cục Sở hữu trí tuệ tại Hà Nội hoặc 2 Văn phòng đại diện của Cục tại TP. Hồ Chí Minh và Đà Nẵng.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qua bưu điện.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mô tả sáng chế và yêu cầu bảo hộ sáng chế (02 bản, bao gồm cả hình vẽ, nếu có);</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sáng chế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xác nhận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hưởng quyền ưu tiên, nếu có yêu cầu hưởng quyền ưu tiên (bản sao đơn (các đơn) đầu tiên có xác nhận của cơ quan nhận đơn, trừ đơn PCT)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sáng chế (Lưu ý: tại mục “Phân loại sáng chế quốc tế” trong Tờ khai, nếu người nộp đơn không tự phân nhóm, phân loại hoặc phân nhóm, phân loại không chính xác thì Cục sở hữu trí tuệ sẽ thực hiện việc này và người nộp đơn phải nộp phí dịch vụ phân nhóm, phân loại theo quy định.)</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sáng chế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2026-10-22T03:40:21Z</dcterms:created>
  <dc:creator>Apache POI</dc:creator>
</cp:coreProperties>
</file>