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trường phổ thông dân tộc nội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Sở Giáo dục và Đào tạo chủ trì xây dựng đề án và phối hợp với các cơ quan có liên quan thẩm định đề án thành lập trường và lập hồ sơ đề nghị thành lập trường trình Chủ tịch Ủy ban nhân dân cấp tỉnh quyết định thành lập;</w:t>
      </w:r>
    </w:p>
    <w:p>
      <w:pPr>
        <w:spacing w:after="0" w:before="0" w:lineRule="auto" w:line="276"/>
        <w:jc w:val="both"/>
      </w:pPr>
      <w:r>
        <w:rPr>
          <w:rFonts w:ascii="Times New Roman" w:hAnsi="Times New Roman" w:cs="Times New Roman" w:eastAsia="Times New Roman"/>
          <w:b w:val="false"/>
          <w:sz w:val="26"/>
        </w:rPr>
        <w:t>b) Ủy ban nhân dân cấp tỉnh nhận hồ sơ, xem xét điều kiện thành lập trường theo quy định. Trong thời hạn 20 ngày làm việc kể từ ngày nhận đủ hồ sơ hợp lệ, Chủ tịch Ủy ban nhân dân cấp tỉnh quyết định thành lập trường phổ thông dân tộc nội trú. Trường hợp chưa quyết định thành lập trường thì có văn bản thông báo cho các cơ quan có liên quan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về việc thành lập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kèm theo bản sao văn bằng, chứng chỉ hợp lệ của người dự kiến làm hiệu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giải trình việc tiếp thu ý kiến của các cơ quan có liên quan và báo cáo bổ sung theo ý kiến chỉ đạo Ủy ban nhân dân cấp huyện hoặc của Ủy ban nhân dân cấp tỉnh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trung học phổ thông, trường phổ thông có nhiều cấp học có cấp học cao nhất là trung học phổ thông công lập hoặc cho phép thành lập trường trung học phổ thông, trường phổ thông có nhiều cấp học có cấp học cao nhất là trung học phổ thông tư thục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trường phù hợp với quy hoạch phát triển kinh tế - xã hội và quy hoạch mạng lưới cơ sở giáo dục của địa phương đã được cơ quan quản lý nhà nước có thẩm quyền phê duyệt.
b) Đề án thành lập trường xác định rõ mục tiêu, nhiệm vụ, chương trình và nội dung giáo dục;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2026-08-02T19:44:13Z</dcterms:created>
  <dc:creator>Apache POI</dc:creator>
</cp:coreProperties>
</file>