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tử lưu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Công chức tư pháp - hộ tịch được giao nhiệm vụ đăng ký khai tử lưu động có trách nhiệm chuẩn bị đầy đủ mẫu Tờ khai đăng ký khai tử, giấy tờ hộ tịch và điều kiện cần thiết để thực hiện đăng ký lưu động tại nhà riêng hoặc tại địa điểm tổ chức đăng ký lưu động, bảo đảm thuận lợi cho người dân.</w:t>
      </w:r>
    </w:p>
    <w:p>
      <w:pPr>
        <w:spacing w:after="0" w:before="0" w:lineRule="auto" w:line="276"/>
        <w:jc w:val="both"/>
      </w:pPr>
      <w:r>
        <w:rPr>
          <w:rFonts w:ascii="Times New Roman" w:hAnsi="Times New Roman" w:cs="Times New Roman" w:eastAsia="Times New Roman"/>
          <w:b w:val="false"/>
          <w:sz w:val="26"/>
        </w:rPr>
        <w:t>- Tại địa điểm đăng ký khai tử lưu động, công chức tư pháp - hộ tịch hướng dẫn người yêu cầu điền đầy đủ thông tin trong Tờ khai đăng ký khai tử, kiểm tra các giấy tờ làm cơ sở cho việc đăng ký khai tử; viết Phiếu tiếp nhận hồ sơ.</w:t>
      </w:r>
    </w:p>
    <w:p>
      <w:pPr>
        <w:spacing w:after="0" w:before="0" w:lineRule="auto" w:line="276"/>
        <w:jc w:val="both"/>
      </w:pPr>
      <w:r>
        <w:rPr>
          <w:rFonts w:ascii="Times New Roman" w:hAnsi="Times New Roman" w:cs="Times New Roman" w:eastAsia="Times New Roman"/>
          <w:b w:val="false"/>
          <w:sz w:val="26"/>
        </w:rPr>
        <w:t>- Sau khi tiếp nhận hồ sơ, công chức tư pháp - hộ tịch báo cáo Chủ tịch Ủy ban nhân dân cấp xã. Trường hợp Chủ tịch Ủy ban nhân dân đồng ý giải quyết thì công chức tư pháp - hộ tịch thực hiện việc ghi vào Sổ đăng ký khai tử, cập nhật thông tin đăng ký khai tử và lưu chính thức trên Phần mềm đăng ký, quản lý hộ tịch điện tử dùng chung, in Trích lục khai tử, trình Chủ tịch Ủy ban nhân dân ký Trích lục khai tử cấp cho người có yêu cầu.</w:t>
      </w:r>
    </w:p>
    <w:p>
      <w:pPr>
        <w:spacing w:after="0" w:before="0" w:lineRule="auto" w:line="276"/>
        <w:jc w:val="both"/>
      </w:pPr>
      <w:r>
        <w:rPr>
          <w:rFonts w:ascii="Times New Roman" w:hAnsi="Times New Roman" w:cs="Times New Roman" w:eastAsia="Times New Roman"/>
          <w:b w:val="false"/>
          <w:sz w:val="26"/>
        </w:rPr>
        <w:t>- Công chức tư pháp - hộ tịch đem theo Trích lục khai tử và Sổ đăng ký khai tử để trả kết quả cho người có yêu cầu tại địa điểm đăng ký lưu động; hướng dẫn người yêu cầu kiểm tra nội dung Trích lục khai tử và Sổ đăng ký khai tử, ký, ghi rõ họ, tên trong Sổ đăng ký khai tử; tại mục “Ghi chú” trong Sổ đăng ký khai tử ghi rõ “Đăng ký lưu động”.</w:t>
      </w:r>
    </w:p>
    <w:p>
      <w:pPr>
        <w:spacing w:after="0" w:before="0" w:lineRule="auto" w:line="276"/>
        <w:jc w:val="both"/>
      </w:pPr>
      <w:r>
        <w:rPr>
          <w:rFonts w:ascii="Times New Roman" w:hAnsi="Times New Roman" w:cs="Times New Roman" w:eastAsia="Times New Roman"/>
          <w:b w:val="false"/>
          <w:sz w:val="26"/>
        </w:rPr>
        <w:t>- Trường hợp người yêu cầu không biết chữ thì công chức tư pháp - hộ tịch trực tiếp ghi Tờ khai, sau đó đọc cho người yêu cầu nghe lại nội dung và hướng dẫn người đó điểm chỉ vào Tờ khai. Khi trả kết quả, công chức tư pháp - hộ tịch đọc lại nội dung Trích lục khai tử cho người yêu cầu nghe và hướng dẫn người đó điểm chỉ vào Sổ đăng ký khai tử.</w:t>
      </w:r>
    </w:p>
    <w:p>
      <w:pPr>
        <w:spacing w:after="0" w:before="0" w:lineRule="auto" w:line="276"/>
        <w:jc w:val="both"/>
      </w:pPr>
      <w:r>
        <w:rPr>
          <w:rFonts w:ascii="Times New Roman" w:hAnsi="Times New Roman" w:cs="Times New Roman" w:eastAsia="Times New Roman"/>
          <w:b w:val="false"/>
          <w:sz w:val="26"/>
        </w:rPr>
        <w:t>* Lưu ý: -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kết hôn.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Theo mức thu lệ phí do Hội đồng nhân dân cấp tỉnh quy định.  Miễn lệ phí đối với trường hợp đăng ký khai tử đúng hạn; đăng ký cho người thuộc gia đình có công với cách mạng; người thuộc hộ nghèo; người khuyết tật.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tử theo mẫu;</w:t>
            </w:r>
          </w:p>
        </w:tc>
        <w:tc>
          <w:p/>
          <w:p>
            <w:pPr>
              <w:spacing w:after="0" w:before="0" w:lineRule="auto" w:line="276"/>
              <w:jc w:val="left"/>
            </w:pPr>
            <w:r>
              <w:rPr>
                <w:rFonts w:ascii="Times New Roman" w:hAnsi="Times New Roman" w:cs="Times New Roman" w:eastAsia="Times New Roman"/>
                <w:b w:val="false"/>
                <w:sz w:val="26"/>
              </w:rPr>
              <w:t>3.TKngkkhait.doc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giấy tờ thay Giấy báo tử do cơ quan có thẩm quyền cấp. Trường hợp người yêu cầu đã nộp bản điện tử Giấy báo tử hoặc cơ quan đăng ký hộ tịch đã khai thác được dữ liệu điện tử có ký số của Giấy báo tử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cuối cùng của người chết để xác định        thẩm quyền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xác định được nơi cư trú cuối cùng của người chết thì xuất trình giấy tờ chứng minh nơi người đó chết hoặc nơi phát hiện thi thể của người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Thực hiện đăng ký lưu động tại nhà riêng hoặc tại địa điểm tổ chức đăng ký lưu động, bảo đảm thuận lợi cho người dân.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chết không có người thân thích, người thân thích không sống cùng địa bàn xã hoặc là người già, yếu, khuyết tật không đi đăng ký khai tử được.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2026-08-02T19:21:41Z</dcterms:created>
  <dc:creator>Apache POI</dc:creator>
</cp:coreProperties>
</file>