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w:t>
      </w:r>
    </w:p>
    <w:p>
      <w:pPr>
        <w:spacing w:after="0" w:before="0" w:lineRule="auto" w:line="276"/>
        <w:jc w:val="both"/>
      </w:pPr>
      <w:r>
        <w:rPr>
          <w:rFonts w:ascii="Times New Roman" w:hAnsi="Times New Roman" w:cs="Times New Roman" w:eastAsia="Times New Roman"/>
          <w:b w:val="false"/>
          <w:sz w:val="26"/>
        </w:rPr>
        <w:t>- Trong thời hạn 30 ngày làm việc, kể từ ngày khai giảng năm học, khóa học, cha mẹ (hoặc người chăm sóc) trẻ mẫu giáo; học sinh tiểu học, học sinh trung học cơ sở  nộp đơn đề nghị hỗ trợ học tập cho Phòng phụ trách Giáo dục; học sinh, sinh viên học tại khoa, trường dự bị đại học, các cơ sở giáo dục đại học nộp đơn đề nghị hỗ trợ học tập cho Ủy ban nhân dân xã tại nơi trẻ mẫu giáo, học sinh, sinh viên có hộ khẩu thường trú. Trong trường hợp học sinh, sinh viên không trực tiếp đến nộp thì cha mẹ học sinh, sinh viên nộp thay.</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nhận đơn đề nghị hỗ trợ, Ủy ban nhân dân xã có trách nhiệm tổ chức xem xét đơn, lập và phê duyệt danh sách đối tượng được hưởng, niêm yết công khai danh sách đối tượng được hưởng chính sách và thực hiện chi trả.</w:t>
      </w:r>
    </w:p>
    <w:p>
      <w:pPr>
        <w:spacing w:after="0" w:before="0" w:lineRule="auto" w:line="276"/>
        <w:jc w:val="both"/>
      </w:pPr>
      <w:r>
        <w:rPr>
          <w:rFonts w:ascii="Times New Roman" w:hAnsi="Times New Roman" w:cs="Times New Roman" w:eastAsia="Times New Roman"/>
          <w:b w:val="false"/>
          <w:sz w:val="26"/>
        </w:rPr>
        <w:t>Ủy ban nhân xã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2026-08-01T17:26:09Z</dcterms:created>
  <dc:creator>Apache POI</dc:creator>
</cp:coreProperties>
</file>