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tổ chức đủ điều kiện hoạt động giám định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Thẩm định hồ sơ</w:t>
      </w:r>
    </w:p>
    <w:p>
      <w:pPr>
        <w:spacing w:after="0" w:before="0" w:lineRule="auto" w:line="276"/>
        <w:jc w:val="both"/>
      </w:pPr>
      <w:r>
        <w:rPr>
          <w:rFonts w:ascii="Times New Roman" w:hAnsi="Times New Roman" w:cs="Times New Roman" w:eastAsia="Times New Roman"/>
          <w:b w:val="false"/>
          <w:sz w:val="26"/>
        </w:rPr>
        <w:t>+ Trường hợp hồ sơ đáp ứng các quy định, Cục trưởng Cục Sở hữu trí tuệ ra quyết định cấp Giấy chứng nhận tổ chức đủ điều kiện hoạt động giám định sở hữu công nghiệp;</w:t>
      </w:r>
    </w:p>
    <w:p>
      <w:pPr>
        <w:spacing w:after="0" w:before="0" w:lineRule="auto" w:line="276"/>
        <w:jc w:val="both"/>
      </w:pPr>
      <w:r>
        <w:rPr>
          <w:rFonts w:ascii="Times New Roman" w:hAnsi="Times New Roman" w:cs="Times New Roman" w:eastAsia="Times New Roman"/>
          <w:b w:val="false"/>
          <w:sz w:val="26"/>
        </w:rPr>
        <w:t>+ Trường hợp hồ sơ thiếu sót hoặc không đáp ứng các quy định, Cục trưởng Cục Sở hữu trí tuệ ra thông báo dự định từ chối chấp nhận hồ sơ, nêu rõ lý do để tổ chức nộp hồ sơ sửa chữa hoặc có ý kiến phản đối. Nếu tổ chức nộp hồ sơ không sửa chữa thiếu sót, hoặc sửa chữa không đạt yêu cầu, không có ý kiến phản đối hoặc ý kiến phản đối không xác đáng, Cục trưởng Cục Sở hữu trí tuệ ra quyết định từ chối cấp Giấy chứng nhận tổ chức giám định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to khai yeu cau cap, cap lai giay chung nhan to chuc du dieu kien hoat dong giam dinh so huu cong nghiep.doc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(đối với doanh nghiệp), Giấy chứng nhận đăng ký kinh doanh (đối với hợp tác xã, liên hiệp hợp tác xã), Giấy chứng nhận đăng ký hoạt động khoa học và công nghệ (đối với đơn vị sự nghiệp là tổ chức khoa học và công nghệ), Quyết định thành lập và Giấy đăng ký hoạt động (nếu pháp luật quy định phải đăng ký hoạt động - đối với đơn vị sự nghiệp không phải là tổ chức khoa học và công nghệ) hoặc Giấy đăng ký hoạt động đối với tổ chức hành nghề luật sư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hoặc hợp đồng lao động giữa tổ chức và giám định viên sở hữu công nghiệp hoạt động cho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tổ chức đủ điều kiện hoạt động giám định sở hữu công nghiệp (Cấp Bộ), Quyết định cấp Giấy chứng nhận tổ chức đủ điều kiện hoạt động giám định sở hữu công nghiệp, Quyết định từ chối cấp Giấy chứng nhận tổ chức đủ điều kiện hoạt động giám định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105/2006/NĐ-CP</w:t>
            </w:r>
          </w:p>
        </w:tc>
        <w:tc>
          <w:p/>
          <w:p>
            <w:pPr>
              <w:spacing w:after="0" w:before="0" w:lineRule="auto" w:line="276"/>
              <w:jc w:val="left"/>
            </w:pPr>
            <w:r>
              <w:rPr>
                <w:rFonts w:ascii="Times New Roman" w:hAnsi="Times New Roman" w:cs="Times New Roman" w:eastAsia="Times New Roman"/>
                <w:b w:val="false"/>
                <w:sz w:val="26"/>
              </w:rPr>
              <w:t>Nghị định số 105/2006/NĐ-CP ngày 22/9/2006 của Chính phủ quy định chi tiết và hướng dẫn thi hành một số điều của Luật Sở hữu trí tuệ về bảo vệ quyền sở hữu trí tuệ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01/2008/TT-BKHCN</w:t>
            </w:r>
          </w:p>
        </w:tc>
        <w:tc>
          <w:p/>
          <w:p>
            <w:pPr>
              <w:spacing w:after="0" w:before="0" w:lineRule="auto" w:line="276"/>
              <w:jc w:val="left"/>
            </w:pPr>
            <w:r>
              <w:rPr>
                <w:rFonts w:ascii="Times New Roman" w:hAnsi="Times New Roman" w:cs="Times New Roman" w:eastAsia="Times New Roman"/>
                <w:b w:val="false"/>
                <w:sz w:val="26"/>
              </w:rPr>
              <w:t>Thông tư 01/2008/TT-BKHCN-Hướng dẫn việc cấp, thu hồi Thẻ giám định viên sở hữu công nghiệp và Giấy chứng nhận tổ chức đủ điều kiện hoạt động giám định sở hữu công nghiệp</w:t>
            </w:r>
          </w:p>
        </w:tc>
        <w:tc>
          <w:p/>
          <w:p>
            <w:pPr>
              <w:spacing w:after="0" w:before="0" w:lineRule="auto" w:line="276"/>
              <w:jc w:val="left"/>
            </w:pPr>
            <w:r>
              <w:rPr>
                <w:rFonts w:ascii="Times New Roman" w:hAnsi="Times New Roman" w:cs="Times New Roman" w:eastAsia="Times New Roman"/>
                <w:b w:val="false"/>
                <w:sz w:val="26"/>
              </w:rPr>
              <w:t>25-02-2008</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04/2009/TT-BKHCN</w:t>
            </w:r>
          </w:p>
        </w:tc>
        <w:tc>
          <w:p/>
          <w:p>
            <w:pPr>
              <w:spacing w:after="0" w:before="0" w:lineRule="auto" w:line="276"/>
              <w:jc w:val="left"/>
            </w:pPr>
            <w:r>
              <w:rPr>
                <w:rFonts w:ascii="Times New Roman" w:hAnsi="Times New Roman" w:cs="Times New Roman" w:eastAsia="Times New Roman"/>
                <w:b w:val="false"/>
                <w:sz w:val="26"/>
              </w:rPr>
              <w:t>Thông tư 04/2009/TT-BKHCN-Sửa đổi, bổ sung Thông tư số 01/2008/TT-BKHCN ngày 25/02/2008 hướng dẫn việc cấp, thu hồi Thẻ giám định viên sở hữu công nghiệp và Giấy chứng nhận tổ chức đủ điều kiện hoạt động giám định sở hữu công nghiệp</w:t>
            </w:r>
          </w:p>
        </w:tc>
        <w:tc>
          <w:p/>
          <w:p>
            <w:pPr>
              <w:spacing w:after="0" w:before="0" w:lineRule="auto" w:line="276"/>
              <w:jc w:val="left"/>
            </w:pPr>
            <w:r>
              <w:rPr>
                <w:rFonts w:ascii="Times New Roman" w:hAnsi="Times New Roman" w:cs="Times New Roman" w:eastAsia="Times New Roman"/>
                <w:b w:val="false"/>
                <w:sz w:val="26"/>
              </w:rPr>
              <w:t>27-03-2009</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04/2012/TT-BKHCN	</w:t>
            </w:r>
          </w:p>
        </w:tc>
        <w:tc>
          <w:p/>
          <w:p>
            <w:pPr>
              <w:spacing w:after="0" w:before="0" w:lineRule="auto" w:line="276"/>
              <w:jc w:val="left"/>
            </w:pPr>
            <w:r>
              <w:rPr>
                <w:rFonts w:ascii="Times New Roman" w:hAnsi="Times New Roman" w:cs="Times New Roman" w:eastAsia="Times New Roman"/>
                <w:b w:val="false"/>
                <w:sz w:val="26"/>
              </w:rPr>
              <w:t>Thông tư 04/2012/TT-BKHCN-Sửa đổi, bổ sung một số quy định của Thông tư số 01/2008/TT-BKHCN ngày 25/02/2008 hướng dẫn việc cấp, thu hồi Thẻ giám định viên sở hữu công nghiệp và Giấy chứng nhận tổ chức đủ điều kiện hoạt động giám định sở hữu công nghiệp, được sửa đổi, bổ sung theo Thông tư số 04/2009/TT-BKHCN ngày 27/3/2009 và Thông tư số 18/2011/TT-BKHCN ngày 22/7/2011</w:t>
            </w:r>
          </w:p>
        </w:tc>
        <w:tc>
          <w:p/>
          <w:p>
            <w:pPr>
              <w:spacing w:after="0" w:before="0" w:lineRule="auto" w:line="276"/>
              <w:jc w:val="left"/>
            </w:pPr>
            <w:r>
              <w:rPr>
                <w:rFonts w:ascii="Times New Roman" w:hAnsi="Times New Roman" w:cs="Times New Roman" w:eastAsia="Times New Roman"/>
                <w:b w:val="false"/>
                <w:sz w:val="26"/>
              </w:rPr>
              <w:t>13-02-2012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Tổ chức giám định:
   - Có nhân lực, cơ sở vật chất - kỹ thuật đáp ứng yêu cầu đối với tổ chức hoạt động giám định theo quy định của pháp luật;
   - Có chức năng thực hiện hoạt động giám định về sở hữu công nghiệp được ghi nhận trong Giấy chứng nhận đăng ký kinh doanh, Giấy chứng nhận đăng ký hoạt động;
   - Người đứng đầu tổ chức hoặc người được người đứng đầu tổ chức ủy quyền có Thẻ giám định viên sở hữu công nghiệp.
Tổ chức giám định sở hữu công nghiệp chỉ được thực hiện hoạt động giám định trong lĩnh vực đã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2026-10-25T11:32:36Z</dcterms:created>
  <dc:creator>Apache POI</dc:creator>
</cp:coreProperties>
</file>