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xét duyệt nhân sự, cấp phép nhập cảnh cho người nước ngoài, người Việt Nam định cư ở nước ngoài nhập cảnh vào Việt Nam tại Cục Quản lý xuất nhập cảnh, Bộ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 Cơ quan, tổ chức, cá nhân mời, bảo lãnh người nước ngoài nộp hồ sơ tại một trong hai trụ sở làm việc của Cục Quản lý xuất nhập cảnh - Bộ Công an:  
+ Số 44-46 đường Trần Phú, quận Ba Đình, thành phố Hà Nội.
+ Số 333-335-337 đường Nguyễn Trãi, Quận 1, Thành phố Hồ Chí Minh.
* Cán bộ tiếp nhận hồ sơ kiểm tra tính pháp lý và nội dung hồ sơ: 
+ Nếu hồ sơ đầy đủ, hợp lệ thì tiếp nhận hồ sơ, in và cấp giấy hẹn trả kết quả cho người nộp hồ sơ.
+ Nếu hồ sơ thiếu hoặc không hợp lệ thì cán bộ tiếp nhận hồ sơ hướng dẫn để người nộp hồ sơ hoàn chỉnh.
* Thời gian tiếp nhận hồ sơ: Từ thứ 2 đến sáng thứ 7 hàng tuần (trừ ngày Tết, ngày lễ).</w:t>
      </w:r>
    </w:p>
    <w:p>
      <w:pPr>
        <w:spacing w:after="0" w:before="0" w:lineRule="auto" w:line="276"/>
        <w:jc w:val="both"/>
      </w:pPr>
      <w:r>
        <w:rPr>
          <w:rFonts w:ascii="Times New Roman" w:hAnsi="Times New Roman" w:cs="Times New Roman" w:eastAsia="Times New Roman"/>
          <w:b w:val="false"/>
          <w:sz w:val="26"/>
        </w:rPr>
        <w:t>Bước 3: Trả kết quả:
+ Người đến nhận kết quả trực tiếp nhận kết quả tại Cục Quản lý xuất nhập cảnh. Khi đến nhận kết quả mang theo giấy hẹn trả kết quả, giấy tờ tùy thân để kiểm tra, đối chiếu. 
+ Trường hợp không đồng ý xét duyệt nhân sự, cấp phép nhập cảnh thì trả lời bằng văn bản và nêu rõ lý do.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Trực tiếp nộp hồ sơ và nhận kết quả tại Cục Quản lý xuất nhập cảnh, Bộ Công an. 
+ Không quá 05 ngày làm việc, kể từ khi nhận đủ hồ sơ đối với trường hợp người nước ngoài nhận thị thực tại cơ quan có thẩm quyền cấp thị thực của Việt Nam ở nước ngoài.
+ Không quá 03 ngày làm việc kể từ khi nhận đủ hồ sơ đối với trường hợp người nước ngoài được nhận thị thực tại cửa khẩu quốc tế quy định tại các điểm a, b, c, d khoản 1 Điều 18 Luật số 47/2014/QH13 ngày 16/6/2014.
+ Không quá 12 giờ làm việc kể từ khi nhận đủ hồ sơ đối với các trường hợp được nhận thị thực tại cửa khẩu quốc tế quy định tại điểm đ, e  khoản 1 Điều 18 Luật số 47/2014/QH13 ngày 16/6/2014.</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cá nhân (bảo lãnh cho thân nhân):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bảo lãnh cho thân nhân là người nước ngoài nhập cảnh Việt Nam (mẫu NA3) ban hành kèm theo Thông tư số 22/2023/TT-BCA ngày 30/6/2023 của Bộ công an.</w:t>
            </w:r>
          </w:p>
        </w:tc>
        <w:tc>
          <w:p/>
          <w:p>
            <w:pPr>
              <w:spacing w:after="0" w:before="0" w:lineRule="auto" w:line="276"/>
              <w:jc w:val="left"/>
            </w:pPr>
            <w:r>
              <w:rPr>
                <w:rFonts w:ascii="Times New Roman" w:hAnsi="Times New Roman" w:cs="Times New Roman" w:eastAsia="Times New Roman"/>
                <w:b w:val="false"/>
                <w:sz w:val="26"/>
              </w:rPr>
              <w:t>NA3.doc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cơ quan, tổ chức: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xét duyệt, kiểm tra nhân sự người người ngoài nhập cảnh (NA2).</w:t>
            </w:r>
          </w:p>
        </w:tc>
        <w:tc>
          <w:p/>
          <w:p>
            <w:pPr>
              <w:spacing w:after="0" w:before="0" w:lineRule="auto" w:line="276"/>
              <w:jc w:val="left"/>
            </w:pPr>
            <w:r>
              <w:rPr>
                <w:rFonts w:ascii="Times New Roman" w:hAnsi="Times New Roman" w:cs="Times New Roman" w:eastAsia="Times New Roman"/>
                <w:b w:val="false"/>
                <w:sz w:val="26"/>
              </w:rPr>
              <w:t>4-Mẫu NA2.doc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Số 44-46 đường Trần Phú, quận Ba Đình, thành phố Hà Nội. + Số 333-335-337 đường Nguyễn Trãi, Quận 1, Thành phố Hồ Chí Minh.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trả lời đề nghị xét duyệt nhân sự người nước ngoài nhập cảnh (NB1), Công văn trả lời đề nghị cấp thị thực tại cửa khẩu quốc tế (NB3), Công văn trả lời đề nghị kiểm tra nhân sự người nước ngoài nhập cảnh (NB2)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04/2015/TT-BCA </w:t>
            </w:r>
          </w:p>
        </w:tc>
        <w:tc>
          <w:p/>
          <w:p>
            <w:pPr>
              <w:spacing w:after="0" w:before="0" w:lineRule="auto" w:line="276"/>
              <w:jc w:val="left"/>
            </w:pPr>
            <w:r>
              <w:rPr>
                <w:rFonts w:ascii="Times New Roman" w:hAnsi="Times New Roman" w:cs="Times New Roman" w:eastAsia="Times New Roman"/>
                <w:b w:val="false"/>
                <w:sz w:val="26"/>
              </w:rPr>
              <w:t>04/2015/TT-BCA</w:t>
            </w:r>
          </w:p>
        </w:tc>
        <w:tc>
          <w:p/>
          <w:p>
            <w:pPr>
              <w:spacing w:after="0" w:before="0" w:lineRule="auto" w:line="276"/>
              <w:jc w:val="left"/>
            </w:pPr>
            <w:r>
              <w:rPr>
                <w:rFonts w:ascii="Times New Roman" w:hAnsi="Times New Roman" w:cs="Times New Roman" w:eastAsia="Times New Roman"/>
                <w:b w:val="false"/>
                <w:sz w:val="26"/>
              </w:rPr>
              <w:t>05-01-2015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 xml:space="preserve"> 31/2015/TT-BCA </w:t>
            </w:r>
          </w:p>
        </w:tc>
        <w:tc>
          <w:p/>
          <w:p>
            <w:pPr>
              <w:spacing w:after="0" w:before="0" w:lineRule="auto" w:line="276"/>
              <w:jc w:val="left"/>
            </w:pPr>
            <w:r>
              <w:rPr>
                <w:rFonts w:ascii="Times New Roman" w:hAnsi="Times New Roman" w:cs="Times New Roman" w:eastAsia="Times New Roman"/>
                <w:b w:val="false"/>
                <w:sz w:val="26"/>
              </w:rPr>
              <w:t>Thông tư 31/2015/TT-BCA</w:t>
            </w:r>
          </w:p>
        </w:tc>
        <w:tc>
          <w:p/>
          <w:p>
            <w:pPr>
              <w:spacing w:after="0" w:before="0" w:lineRule="auto" w:line="276"/>
              <w:jc w:val="left"/>
            </w:pPr>
            <w:r>
              <w:rPr>
                <w:rFonts w:ascii="Times New Roman" w:hAnsi="Times New Roman" w:cs="Times New Roman" w:eastAsia="Times New Roman"/>
                <w:b w:val="false"/>
                <w:sz w:val="26"/>
              </w:rPr>
              <w:t>06-07-2015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17-06-2014</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22/2023/TT-BCA</w:t>
            </w:r>
          </w:p>
        </w:tc>
        <w:tc>
          <w:p/>
          <w:p>
            <w:pPr>
              <w:spacing w:after="0" w:before="0" w:lineRule="auto" w:line="276"/>
              <w:jc w:val="left"/>
            </w:pPr>
            <w:r>
              <w:rPr>
                <w:rFonts w:ascii="Times New Roman" w:hAnsi="Times New Roman" w:cs="Times New Roman" w:eastAsia="Times New Roman"/>
                <w:b w:val="false"/>
                <w:sz w:val="26"/>
              </w:rPr>
              <w:t>Thông tư số 22/2023/TT-BCA</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Trước khi làm thủ tục mời, bảo lãnh người nước ngoài nhập cảnh Việt Nam, cơ quan, tổ chức cần phải nộp hồ sơ theo quy định tại khoản 2 Điều 16 Luật số 47/2014/QH13 ngày 16/6/2014 tại Cục Quản lý xuất nhập cảnh, Bộ Công an.
+ Người nước ngoài, người Việt Nam mang hộ chiếu nước ngoài không được cấp phép nhập cảnh Việt Nam nếu thuộc diện “chưa cho nhập cảnh Việt Nam” theo quy định của pháp luật Việt Nam. 
+ Trường hợp đề nghị cấp thị thực có điều kiện, phải nộp kèm theo giấy tờ chứng minh mục đích nhập cảnh theo quy định tại khoản 4 Điều 10 Luật số 47/2014/QH13 ngày 16/6/2014.</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2026-10-19T04:38:36Z</dcterms:created>
  <dc:creator>Apache POI</dc:creator>
</cp:coreProperties>
</file>