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1.003264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kiểm dịch động vật, sản phẩm động vật trên cạn nhập khẩu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Thú 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Đăng ký kiểm dịch 
Trước khi nhập khẩu động vật, sản phẩm động vật chủ hàng gửi 01 bộ hồ sơ đăng ký kiểm dịch theo quy định tại khoản 1, khoản 2 Điều 10 Thông tư số 01/2026/TT-BNNMT ngày 01/01/2026 đến Cục Chăn nuôi và Thú y theo một trong các hình thức: qua Cổng thông tin một cửa quốc gia hoặc Cổng dịch vụ công hoặc qua dịch vụ bưu chính công ích hoặc gửi qua thư điện tử, fax hoặc gửi trực tiếp. Trường hợp gửi hồ sơ đăng ký qua thư điện tử, fax, sau đó chủ hàng phải gửi bản chính;</w:t>
      </w:r>
    </w:p>
    <w:p>
      <w:pPr>
        <w:spacing w:after="0" w:before="0" w:lineRule="auto" w:line="276"/>
        <w:jc w:val="both"/>
      </w:pPr>
      <w:r>
        <w:rPr>
          <w:rFonts w:ascii="Times New Roman" w:hAnsi="Times New Roman" w:cs="Times New Roman" w:eastAsia="Times New Roman"/>
          <w:b w:val="false"/>
          <w:sz w:val="26"/>
        </w:rPr>
        <w:t>Bước 2: Trong thời hạn 04 ngày làm việc kể từ ngày nhận được hồ sơ đầy đủ, hợp lệ căn cứ tình hình dịch bệnh, hệ thống quản lý giám sát dịch bệnh, giám sát vệ sinh thú y của nước xuất khẩu và các thông tin khác (nếu có), Cục Chăn nuôi và Thú y gửi văn bản đồng ý và hướng dẫn kiểm dịch cho chủ hàng qua thư điện tử (trường hợp chủ hàng đăng ký kiểm dịch qua dịch vụ bưu chính công ích hoặc gửi qua thư điện tử, fax hoặc gửi trực tiếp) hoặc gửi trên Cổng thông tin một cửa quốc gia hoặc Cổng dịch vụ công (trường hợp chủ hàng đăng ký kiểm dịch trên Cổng thông tin một cửa quốc gia hoặc Cổng dịch vụ công), đồng thời gửi Cơ quan kiểm dịch động vật cửa khẩu;
Trường hợp không đồng ý kiểm dịch, Cục Chăn nuôi và Thú y phải trả lời cho chủ hàng bằng văn bản hoặc phản hồi qua Cổng thông tin một cửa quốc gia hoặc Cổng dịch vụ công hoặc thư điện tử và nêu rõ lý do;
Trường hợp động vật, sản phẩm động vật thuộc diện phải phân tích nguy cơ trước khi nhập khẩu vào Việt Nam, quy định tại Phụ lục IV ban hành kèm theo thông tư này phải được Cục Chăn nuôi và Thú y tiến hành phân tích nguy cơ theo quy định tại Điều 43 Luật Thú y, khuyến nghị của Tổ chức Thú y thế giới (WOAH).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Trong thời hạn 04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Trong thời hạn 04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Trong thời hạn 04 ngày làm việc kể từ ngày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kiểm dịch động vật, sản phẩm động vật nhập khẩu theo mẫu 19 quy định tại Phụ lục V ban hành kèm theo Thông tư số 01/2026/TT-BNNMT ngày 01/01/2026;</w:t>
            </w:r>
          </w:p>
        </w:tc>
        <w:tc>
          <w:p/>
          <w:p>
            <w:pPr>
              <w:spacing w:after="0" w:before="0" w:lineRule="auto" w:line="276"/>
              <w:jc w:val="left"/>
            </w:pPr>
            <w:r>
              <w:rPr>
                <w:rFonts w:ascii="Times New Roman" w:hAnsi="Times New Roman" w:cs="Times New Roman" w:eastAsia="Times New Roman"/>
                <w:b w:val="false"/>
                <w:sz w:val="26"/>
              </w:rPr>
              <w:t>Mau19.docx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đăng ký kiểm dịch động vật, sản phẩm động vật nhập khẩu theo mẫu 20 quy định tại Phụ lục V ban hành kèm theo Thông tư số 01/2026/TT-BNNMT ngày 01/01/2026 (đối với hồ sơ đăng ký kiểm dịch nhập khẩu bột thịt xương);</w:t>
            </w:r>
          </w:p>
        </w:tc>
        <w:tc>
          <w:p/>
          <w:p>
            <w:pPr>
              <w:spacing w:after="0" w:before="0" w:lineRule="auto" w:line="276"/>
              <w:jc w:val="left"/>
            </w:pPr>
            <w:r>
              <w:rPr>
                <w:rFonts w:ascii="Times New Roman" w:hAnsi="Times New Roman" w:cs="Times New Roman" w:eastAsia="Times New Roman"/>
                <w:b w:val="false"/>
                <w:sz w:val="26"/>
              </w:rPr>
              <w:t>Mau20.docx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hoặc giấy phép theo quy định đối với động vật thuộc đối tượng quản lý của Cơ quan nhà nước có thẩm quyền liên quan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 Tổ chức Đảng, Đảng viên</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Chăn nuôi và Thú y - Bộ NN và MT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Số 02 Ngọc Hà, Ba Đình, Hà Nôi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đồng ý và hướng dẫn kiểm dịch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79/2015/QH13</w:t>
            </w:r>
          </w:p>
        </w:tc>
        <w:tc>
          <w:p/>
          <w:p>
            <w:pPr>
              <w:spacing w:after="0" w:before="0" w:lineRule="auto" w:line="276"/>
              <w:jc w:val="left"/>
            </w:pPr>
            <w:r>
              <w:rPr>
                <w:rFonts w:ascii="Times New Roman" w:hAnsi="Times New Roman" w:cs="Times New Roman" w:eastAsia="Times New Roman"/>
                <w:b w:val="false"/>
                <w:sz w:val="26"/>
              </w:rPr>
              <w:t>Luật Thú y</w:t>
            </w:r>
          </w:p>
        </w:tc>
        <w:tc>
          <w:p/>
          <w:p>
            <w:pPr>
              <w:spacing w:after="0" w:before="0" w:lineRule="auto" w:line="276"/>
              <w:jc w:val="left"/>
            </w:pPr>
            <w:r>
              <w:rPr>
                <w:rFonts w:ascii="Times New Roman" w:hAnsi="Times New Roman" w:cs="Times New Roman" w:eastAsia="Times New Roman"/>
                <w:b w:val="false"/>
                <w:sz w:val="26"/>
              </w:rPr>
              <w:t>19-06-2015</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2026-10-24T10:54:56Z</dcterms:created>
  <dc:creator>Apache POI</dc:creator>
</cp:coreProperties>
</file>