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thường trú ở Việt Nam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thường trú tại Việt Nam nhận con nuôi nộp hồ sơ của mình và của người được nhận làm con nuôi tại Sở Tư pháp nơi người được giới thiệu làm con nuôi thường trú;</w:t>
      </w:r>
    </w:p>
    <w:p>
      <w:pPr>
        <w:spacing w:after="0" w:before="0" w:lineRule="auto" w:line="276"/>
        <w:jc w:val="both"/>
      </w:pPr>
      <w:r>
        <w:rPr>
          <w:rFonts w:ascii="Times New Roman" w:hAnsi="Times New Roman" w:cs="Times New Roman" w:eastAsia="Times New Roman"/>
          <w:b w:val="false"/>
          <w:sz w:val="26"/>
        </w:rPr>
        <w:t>- Sở Tư pháp kiểm tra hồ sơ, lấy ý kiến của những người liên quan:</w:t>
      </w:r>
    </w:p>
    <w:p>
      <w:pPr>
        <w:spacing w:after="0" w:before="0" w:lineRule="auto" w:line="276"/>
        <w:jc w:val="both"/>
      </w:pPr>
      <w:r>
        <w:rPr>
          <w:rFonts w:ascii="Times New Roman" w:hAnsi="Times New Roman" w:cs="Times New Roman" w:eastAsia="Times New Roman"/>
          <w:b w:val="false"/>
          <w:sz w:val="26"/>
        </w:rPr>
        <w:t>+ Công chức kiểm tra hồ sơ. Khi kiểm tra hồ sơ, công chức phải nghiên cứu, tìm hiểu tâm tư, nguyện vọng và hoàn cảnh của những người liên quan. Trường hợp người được nhận làm con nuôi có cha mẹ đẻ, thì công chức kiểm tra việc cha mẹ đẻ có thỏa thuận với cha mẹ nuôi để giữ lại quyền, nghĩa vụ đối với con và cách thức thực hiện quyền, nghĩa vụ đó sau khi đã cho làm con nuôi.</w:t>
      </w:r>
    </w:p>
    <w:p>
      <w:pPr>
        <w:spacing w:after="0" w:before="0" w:lineRule="auto" w:line="276"/>
        <w:jc w:val="both"/>
      </w:pPr>
      <w:r>
        <w:rPr>
          <w:rFonts w:ascii="Times New Roman" w:hAnsi="Times New Roman" w:cs="Times New Roman" w:eastAsia="Times New Roman"/>
          <w:b w:val="false"/>
          <w:sz w:val="26"/>
        </w:rPr>
        <w:t>+ Công chức lấy ý kiến của những người liên quan:</w:t>
      </w:r>
    </w:p>
    <w:p>
      <w:pPr>
        <w:spacing w:after="0" w:before="0" w:lineRule="auto" w:line="276"/>
        <w:jc w:val="both"/>
      </w:pPr>
      <w:r>
        <w:rPr>
          <w:rFonts w:ascii="Times New Roman" w:hAnsi="Times New Roman" w:cs="Times New Roman" w:eastAsia="Times New Roman"/>
          <w:b w:val="false"/>
          <w:sz w:val="26"/>
        </w:rPr>
        <w:t>Khi lấy ý kiến của những người liên quan, công chức phải:</w:t>
      </w:r>
    </w:p>
    <w:p>
      <w:pPr>
        <w:spacing w:after="0" w:before="0" w:lineRule="auto" w:line="276"/>
        <w:jc w:val="both"/>
      </w:pPr>
      <w:r>
        <w:rPr>
          <w:rFonts w:ascii="Times New Roman" w:hAnsi="Times New Roman" w:cs="Times New Roman" w:eastAsia="Times New Roman"/>
          <w:b w:val="false"/>
          <w:sz w:val="26"/>
        </w:rPr>
        <w:t>i) Tư vấn để trẻ em tiếp tục được chăm sóc, nuôi dưỡng, giáo dục phù hợp với điều kiện và khả năng thực tế của gia đình;</w:t>
      </w:r>
    </w:p>
    <w:p>
      <w:pPr>
        <w:spacing w:after="0" w:before="0" w:lineRule="auto" w:line="276"/>
        <w:jc w:val="both"/>
      </w:pPr>
      <w:r>
        <w:rPr>
          <w:rFonts w:ascii="Times New Roman" w:hAnsi="Times New Roman" w:cs="Times New Roman" w:eastAsia="Times New Roman"/>
          <w:b w:val="false"/>
          <w:sz w:val="26"/>
        </w:rPr>
        <w:t>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w:t>
      </w:r>
    </w:p>
    <w:p>
      <w:pPr>
        <w:spacing w:after="0" w:before="0" w:lineRule="auto" w:line="276"/>
        <w:jc w:val="both"/>
      </w:pPr>
      <w:r>
        <w:rPr>
          <w:rFonts w:ascii="Times New Roman" w:hAnsi="Times New Roman" w:cs="Times New Roman" w:eastAsia="Times New Roman"/>
          <w:b w:val="false"/>
          <w:sz w:val="26"/>
        </w:rPr>
        <w:t>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w:t>
      </w:r>
    </w:p>
    <w:p>
      <w:pPr>
        <w:spacing w:after="0" w:before="0" w:lineRule="auto" w:line="276"/>
        <w:jc w:val="both"/>
      </w:pPr>
      <w:r>
        <w:rPr>
          <w:rFonts w:ascii="Times New Roman" w:hAnsi="Times New Roman" w:cs="Times New Roman" w:eastAsia="Times New Roman"/>
          <w:b w:val="false"/>
          <w:sz w:val="26"/>
        </w:rPr>
        <w:t>- Sở Tư pháp trình Ủy ban nhân dân cấp tỉnh xem xét, quyết định;</w:t>
      </w:r>
    </w:p>
    <w:p>
      <w:pPr>
        <w:spacing w:after="0" w:before="0" w:lineRule="auto" w:line="276"/>
        <w:jc w:val="both"/>
      </w:pPr>
      <w:r>
        <w:rPr>
          <w:rFonts w:ascii="Times New Roman" w:hAnsi="Times New Roman" w:cs="Times New Roman" w:eastAsia="Times New Roman"/>
          <w:b w:val="false"/>
          <w:sz w:val="26"/>
        </w:rPr>
        <w:t>- Ủy ban nhân dân cấp tỉnh ra Quyết định nuôi con nuôi có yếu tố nước ngoài;</w:t>
      </w:r>
    </w:p>
    <w:p>
      <w:pPr>
        <w:spacing w:after="0" w:before="0" w:lineRule="auto" w:line="276"/>
        <w:jc w:val="both"/>
      </w:pPr>
      <w:r>
        <w:rPr>
          <w:rFonts w:ascii="Times New Roman" w:hAnsi="Times New Roman" w:cs="Times New Roman" w:eastAsia="Times New Roman"/>
          <w:b w:val="false"/>
          <w:sz w:val="26"/>
        </w:rPr>
        <w:t>- Sở Tư pháp đăng ký việc nuôi con nuôi theo quy định của pháp luật về đăng ký hộ tịch, tổ chức lễ giao nhận con nuôi tại trụ sở Sở Tư pháp.</w:t>
      </w:r>
    </w:p>
    <w:p>
      <w:pPr>
        <w:spacing w:after="0" w:before="0" w:lineRule="auto" w:line="276"/>
        <w:jc w:val="both"/>
      </w:pPr>
      <w:r>
        <w:rPr>
          <w:rFonts w:ascii="Times New Roman" w:hAnsi="Times New Roman" w:cs="Times New Roman" w:eastAsia="Times New Roman"/>
          <w:b w:val="false"/>
          <w:sz w:val="26"/>
        </w:rPr>
        <w:t>- Trường hợp từ chối thì Sở Tư pháp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4.500.000 Đồng</w:t>
            </w:r>
          </w:p>
        </w:tc>
        <w:tc>
          <w:p/>
          <w:p>
            <w:pPr>
              <w:spacing w:after="0" w:before="0" w:lineRule="auto" w:line="276"/>
              <w:jc w:val="left"/>
            </w:pPr>
            <w:r>
              <w:rPr>
                <w:rFonts w:ascii="Times New Roman" w:hAnsi="Times New Roman" w:cs="Times New Roman" w:eastAsia="Times New Roman"/>
                <w:b w:val="false"/>
                <w:sz w:val="26"/>
              </w:rPr>
              <w:t>- Sở Tư pháp kiểm tra hồ sơ và lấy ý kiến: 20 ngày, kể từ ngày nhận đủ hồ sơ hợp lệ;
- Thời gian những người liên quan thay đổi ý kiến đồng ý về việc cho trẻ em làm con nuôi nước ngoài: 10 ngày làm việc, kể từ ngày được lấy ý kiến.
- Ủy ban nhân dân cấp tỉnh ra Quyết định: 15 ngày, kể từ ngày nhận được hồ sơ do Sở Tư pháp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giấy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lập, cấp, xác nhận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để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phải chứng minh nơi thường trú của người nhận con nuôi/người được giới thiệu làm con nuôi khi đề nghị UBND cấp xã cấp Văn bản xác nhận hoàn cảnh gia đình, tình trạng chỗ ở, điều kiện kinh tế hoặc khi nộp hồ sơ tại Sở Tư pháp, cán bộ, công chức, viên chức, cá nhân được giao trách nhiệm tiếp nhận, giải quyết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nhận con nuôi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như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điều kiện như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2026-08-01T17:32:39Z</dcterms:created>
  <dc:creator>Apache POI</dc:creator>
</cp:coreProperties>
</file>