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2555/QĐ-BYT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khám bệnh, chữa bệnh bảo hiểm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chính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tham gia khám bệnh, chữa bệnh bảo hiểm y tế xuất trình các giấy tờ theo quy định tại Điều 15 của Nghị định số 146/2018/NĐ-CP (được sửa đổi, bổ sung tại khoản 6 Điều 1 của Nghị định số 75/2023/NĐ-CP và khoản 2 Điều 1 của Nghị định số 02/2025/NĐ-CP) và Điều 4 của Thông tư số 01/2025/TT-BYT cho cơ sở khám bệnh, chữa bệnh.</w:t>
      </w:r>
    </w:p>
    <w:p>
      <w:pPr>
        <w:spacing w:after="0" w:before="0" w:lineRule="auto" w:line="276"/>
        <w:jc w:val="both"/>
      </w:pPr>
      <w:r>
        <w:rPr>
          <w:rFonts w:ascii="Times New Roman" w:hAnsi="Times New Roman" w:cs="Times New Roman" w:eastAsia="Times New Roman"/>
          <w:b w:val="false"/>
          <w:sz w:val="26"/>
        </w:rPr>
        <w:t>Bước 2: Cơ sở khám bệnh, chữa bệnh tiếp nhận người bệnh tham gia bảo hiểm y tế vào cơ sở khám bệnh, chữa bệnh để chẩn đoán và điều trị.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Giải quyết ngay sau khi xuất trình hồ sơ.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trưởng Bộ Y tế đối với các cơ sở khám bệnh, chữa bệnh thuộc Bộ Y tế và các Bộ khác về giá cụ thể dịch vụ khám bệnh, chữa bệnh thuộc danh mục do quỹ bảo hiểm y tế thanh toán, giá cụ thể dịch vụ khám bệnh, chữa bệnh do ngân sách nhà nước thanh toán, giá cụ thể dịch vụ khám bệnh, chữa bệnh không thuộc danh mục do quỹ bảo hiểm y tế thanh toán mà không phải là dịch vụ khám bệnh, chữa bệnh theo yêu cầu cơ quan nhà nước có thẩm quyền quy định; Theo quy định của Hội đồng nhân dân cấp tỉnh đối với các cơ sở khám bệnh, chữa bệnh của Nhà nước trên địa bàn quản lý thuộc phạm vi được phân quyền quy định giá cụ thể dịch vụ khám bệnh, chữa bệnh.)</w:t>
            </w:r>
          </w:p>
        </w:tc>
        <w:tc>
          <w:p/>
          <w:p>
            <w:pPr>
              <w:spacing w:after="0" w:before="0" w:lineRule="auto" w:line="276"/>
              <w:jc w:val="left"/>
            </w:pPr>
            <w:r>
              <w:rPr>
                <w:rFonts w:ascii="Times New Roman" w:hAnsi="Times New Roman" w:cs="Times New Roman" w:eastAsia="Times New Roman"/>
                <w:b w:val="false"/>
                <w:sz w:val="26"/>
              </w:rPr>
              <w:t>Giải quyết ngay sau khi xuất trình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1: Người tham gia bảo hiểm y tế khi khám bệnh, chữa bệnh phải xuất trình thông tin về thẻ bảo hiểm y tế  theo một trong các loại hồ sơ, giấy tờ sau đây: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Thẻ bảo hiểm y tế hoặc mã số bảo hiểm y tế; trường hợp thẻ bảo hiểm y tế chưa có ảnh thì phải xuất trình thêm một trong các giấy tờ tùy thân có ảnh: căn cước, căn cước công dân, giấy chứng nhận căn cước, hộ chiếu, tài khoản định danh điện tử mức độ 2 trên ứng dụng VNeID hoặc giấy tờ chứng minh nhân thân khác do cơ quan, tổ chức có thẩm quyền cấp hoặc giấy xác nhận của công an cấp xã hoặc giấy tờ khác có xác nhận của cơ sở giáo dục nơi quản lý học sinh, sinh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Căn cước hoặc căn cước công dân hoặc tài khoản định danh điện tử mức độ 2 trên ứng dụng VNeID đã tích hợp thông tin về thẻ bảo hiểm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2:  Đối với trẻ em dưới 6 tuổi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chỉ xuất trình thẻ bảo hiểm y tế hoặc mã số bảo hiểm y tế; trường hợp chưa được cấp thẻ bảo hiểm y tế thì xuất trình giấy khai sinh bản gốc hoặc bản sao hoặc trích lục khai sinh, giấy chứng sinh bản gốc hoặc bản sao hoặc căn cước; đối với trẻ vừa sinh, cha hoặc mẹ hoặc thân nhân của trẻ ký xác nhận trên hồ sơ bệnh án hoặc người đại diện cơ sở khám bệnh, chữa bệnh ký xác nhận trên hồ sơ bệnh án trong trường hợp trẻ không có cha, mẹ hoặc thân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3: Người tham gia bảo hiểm y tế trong thời gian chờ cấp lại thẻ, thay đổi thẻ bảo hiểm y tế hoặc thông tin về thẻ bảo hiểm y tế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phải xuất trình giấy tiếp nhận hồ sơ và hẹn trả kết quả cấp, cấp lại và đổi thẻ bảo hiểm y tế, thông tin về thẻ bảo hiểm y tế do cơ quan bảo hiểm xã hội hoặc tổ chức, cá nhân được cơ quan bảo hiểm xã hội ủy quyền tiếp nhận hồ sơ cấp lại thẻ, đổi thẻ cấp theo Mẫu số 4 ban hành kèm theo Nghị định số 146/2018/NĐ-CP (được sửa đổi, bổ sung tại khoản 8 Điều 1 của Nghị định số 02/2025/NĐ-CP) và một loại giấy tờ chứng minh về nhân thân của người đó theo quy định tại điểm a khoản 1 Điều 15 của Nghị định số 146/2018/NĐ-CP (được sửa đổi, bổ sung tại khoản 6 Điều 1 của Nghị định số 75/2023/NĐ-CP và khoản 2 Điều 1 của Nghị định số 02/2025/NĐ-CP).</w:t>
            </w:r>
          </w:p>
        </w:tc>
        <w:tc>
          <w:p/>
          <w:p>
            <w:pPr>
              <w:spacing w:after="0" w:before="0" w:lineRule="auto" w:line="276"/>
              <w:jc w:val="left"/>
            </w:pPr>
            <w:r>
              <w:rPr>
                <w:rFonts w:ascii="Times New Roman" w:hAnsi="Times New Roman" w:cs="Times New Roman" w:eastAsia="Times New Roman"/>
                <w:b w:val="false"/>
                <w:sz w:val="26"/>
              </w:rPr>
              <w:t>Mus4.docx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4: Người đã hiến bộ phận cơ thể người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phải xuất trình thông tin về thẻ bảo hiểm y tế theo quy định tại khoản 1 hoặc khoản 3 Điều 15 Nghị định số 146/2018/NĐ-CP (được sửa đổi, bổ sung tại khoản 6 Điều 1 của Nghị định số 75/2023/NĐ-CP và khoản 2 Điều 1 của Nghị định số 02/2025/NĐ-CP). Trường hợp chưa có thẻ bảo hiểm y tế thì phải xuất trình giấy ra viện do cơ sở khám bệnh, chữa bệnh nơi lấy bộ phận cơ thể người cấp cho người đã hiến bộ phận cơ thể người và một trong các giấy tờ chứng minh nhân thân của người đó: căn cước, căn cước công dân, giấy chứng nhận căn cước, hộ chiếu, tài khoản định danh điện tử mức độ 2 trên ứng dụng VNeID hoặc giấy tờ chứng minh nhân thân khác do cơ quan, tổ chức có thẩm quyền cấp. Trường hợp phải điều trị ngay sau khi hiến thì đại diện của cơ sở khám bệnh, chữa bệnh nơi lấy bộ phận cơ thể và người bệnh hoặc thân nhân của người bệnh ký xác nhận vào hồ sơ bệnh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5: Trường hợp cấp cứu, người tham gia bảo hiểm y tế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phải xuất trình các giấy tờ theo quy định tại khoản 1 hoặc khoản 2 hoặc khoản 3 Điều 15 Nghị định số 146/2018/NĐ-CP (được sửa đổi, bổ sung tại khoản 6 Điều 1 của Nghị định số 75/2023/NĐ-CP và khoản 2 Điều 1 của Nghị định số 02/2025/NĐ-CP) trước khi kết thúc đợt điều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6: Người thay đổi nơi lưu trú quy định tại khoản 1 Điều 4 Thông tư số 01/2025/TT-BYT ngày 01/01/2025 của Bộ trưởng Bộ Y tế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phải xuất trình các giấy tờ quy định tại Điều 28 của Luật Bảo hiểm y tế và Điều 15 Nghị định số 146/2018/NĐ-CP (được sửa đổi, bổ sung tại khoản 6 Điều 1 của Nghị định số 75/2023/NĐ-CP và khoản 2 Điều 1 của Nghị định số 02/2025/NĐ-CP) và một trong các giấy tờ: Văn bản cử đi công tác; Thẻ học sinh, sinh viên, học viên; Văn bản về việc nghỉ phép có xác nhận của cơ quan, đơn vị quản lý người tham gia bảo hiểm y tế; Văn bản cử hoặc phân công nhiệm vụ làm việc lưu động của cơ quan, đơn vị quản lý người tham gia bảo hiểm y tế; Giấy tờ thể hiện quan hệ thành viên gia đình theo pháp luật về hôn nhân và gia đình và thông tin về lưu trú đã cập nhật trên tài khoản định danh điện tử mức độ 2 trên ứng dụng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7: Người thay đổi nơi tạm trú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phải xuất trình các giấy tờ quy định tại Điều 28 của Luật Bảo hiểm y tế và Điều 15 của  Nghị định số 146/2018/NĐ-CP (được sửa đổi, bổ sung tại khoản 6 Điều 1 của Nghị định số 75/2023/NĐ-CP và khoản 2 Điều 1 của Nghị định số 02/2025/NĐ-CP) và một trong các giấy tờ chứng minh thông tin về thay đổi nơi tạm trú gồm phiếu tiếp nhận hồ sơ đăng ký tạm trú hoặc thông báo của cơ quan có thẩm quyền cho người đăng ký tạm trú về việc đã cập nhật thông tin đăng ký tạm trú hoặc thông tin về đăng ký tạm trú trên tài khoản định danh điện tử mức độ 2 trên ứng dụng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8: Người bệnh trong trường hợp được cơ sở khám bệnh, chữa bệnh bảo hiểm y tế hẹn khám lại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thực hiện theo quy định tại khoản 1 và khoản 2 Điều 11 của Thông tư số 01/2025/TT-BYT.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9:  Người bệnh trong trường hợp chuyển cơ sở khám bệnh, chữa bệnh bảo hiểm y tế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thực hiện theo quy định tại Điều 12 của Thông tư số 01/2025/TT-BYT.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Các cơ sở khám chữa bệnh Trung ương và địa phương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Người bệnh có thẻ BHYT được giải quyết quyền lợi KCB</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25/2008/QH12 -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146/2018/NĐ-CP</w:t>
            </w:r>
          </w:p>
        </w:tc>
        <w:tc>
          <w:p/>
          <w:p>
            <w:pPr>
              <w:spacing w:after="0" w:before="0" w:lineRule="auto" w:line="276"/>
              <w:jc w:val="left"/>
            </w:pPr>
            <w:r>
              <w:rPr>
                <w:rFonts w:ascii="Times New Roman" w:hAnsi="Times New Roman" w:cs="Times New Roman" w:eastAsia="Times New Roman"/>
                <w:b w:val="false"/>
                <w:sz w:val="26"/>
              </w:rPr>
              <w:t>Nghị định 146/2018/NĐ-CP Quy định chi tiết và hướng dẫn biện pháp thi hành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17-10-2018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46/2014/QH13</w:t>
            </w:r>
          </w:p>
        </w:tc>
        <w:tc>
          <w:p/>
          <w:p>
            <w:pPr>
              <w:spacing w:after="0" w:before="0" w:lineRule="auto" w:line="276"/>
              <w:jc w:val="left"/>
            </w:pPr>
            <w:r>
              <w:rPr>
                <w:rFonts w:ascii="Times New Roman" w:hAnsi="Times New Roman" w:cs="Times New Roman" w:eastAsia="Times New Roman"/>
                <w:b w:val="false"/>
                <w:sz w:val="26"/>
              </w:rPr>
              <w:t>46/2014/QH13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51/2024/QH15</w:t>
            </w:r>
          </w:p>
        </w:tc>
        <w:tc>
          <w:p/>
          <w:p>
            <w:pPr>
              <w:spacing w:after="0" w:before="0" w:lineRule="auto" w:line="276"/>
              <w:jc w:val="left"/>
            </w:pPr>
            <w:r>
              <w:rPr>
                <w:rFonts w:ascii="Times New Roman" w:hAnsi="Times New Roman" w:cs="Times New Roman" w:eastAsia="Times New Roman"/>
                <w:b w:val="false"/>
                <w:sz w:val="26"/>
              </w:rPr>
              <w:t>Luật số 51/2024/QH15 ngày 27/11/2024 của Quốc hội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27-11-2024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02/2025/NĐ-CP</w:t>
            </w:r>
          </w:p>
        </w:tc>
        <w:tc>
          <w:p/>
          <w:p>
            <w:pPr>
              <w:spacing w:after="0" w:before="0" w:lineRule="auto" w:line="276"/>
              <w:jc w:val="left"/>
            </w:pPr>
            <w:r>
              <w:rPr>
                <w:rFonts w:ascii="Times New Roman" w:hAnsi="Times New Roman" w:cs="Times New Roman" w:eastAsia="Times New Roman"/>
                <w:b w:val="false"/>
                <w:sz w:val="26"/>
              </w:rPr>
              <w:t>Nghị định số 02/2025/NĐ-CP ngày 01 tháng 01 năm 2025 của Chính phủ sửa đổi, bổ sung một số điều của Nghị định số 146/2018/NĐ-CP ngày 17 tháng 10 năm 2018 của Chính phủ quy định chi tiết và hướng dẫn biện pháp thi hành Luật Bảo hiểm y tế, đã được sửa đổi, bổ sung một số điều tại Nghị định số 75/2023/NĐ-CP ngày 19 tháng 10 năm 2023 của Chính phủ.</w:t>
            </w:r>
          </w:p>
        </w:tc>
        <w:tc>
          <w:p/>
          <w:p>
            <w:pPr>
              <w:spacing w:after="0" w:before="0" w:lineRule="auto" w:line="276"/>
              <w:jc w:val="left"/>
            </w:pPr>
            <w:r>
              <w:rPr>
                <w:rFonts w:ascii="Times New Roman" w:hAnsi="Times New Roman" w:cs="Times New Roman" w:eastAsia="Times New Roman"/>
                <w:b w:val="false"/>
                <w:sz w:val="26"/>
              </w:rPr>
              <w:t>01-01-2025</w:t>
            </w:r>
          </w:p>
        </w:tc>
        <w:tc>
          <w:p/>
          <w:p>
            <w:pPr>
              <w:spacing w:after="0" w:before="0" w:lineRule="auto" w:line="276"/>
              <w:jc w:val="left"/>
            </w:pPr>
            <w:r>
              <w:rPr>
                <w:rFonts w:ascii="Times New Roman" w:hAnsi="Times New Roman" w:cs="Times New Roman" w:eastAsia="Times New Roman"/>
                <w:b w:val="false"/>
                <w:sz w:val="26"/>
              </w:rPr>
              <w:t>Phó Thủ tướng Chính phủ</w:t>
            </w:r>
          </w:p>
        </w:tc>
      </w:tr>
      <w:tr>
        <w:tc>
          <w:p/>
          <w:p>
            <w:pPr>
              <w:spacing w:after="0" w:before="0" w:lineRule="auto" w:line="276"/>
              <w:jc w:val="left"/>
            </w:pPr>
            <w:r>
              <w:rPr>
                <w:rFonts w:ascii="Times New Roman" w:hAnsi="Times New Roman" w:cs="Times New Roman" w:eastAsia="Times New Roman"/>
                <w:b w:val="false"/>
                <w:sz w:val="26"/>
              </w:rPr>
              <w:t>01/2025/TT-BYT</w:t>
            </w:r>
          </w:p>
        </w:tc>
        <w:tc>
          <w:p/>
          <w:p>
            <w:pPr>
              <w:spacing w:after="0" w:before="0" w:lineRule="auto" w:line="276"/>
              <w:jc w:val="left"/>
            </w:pPr>
            <w:r>
              <w:rPr>
                <w:rFonts w:ascii="Times New Roman" w:hAnsi="Times New Roman" w:cs="Times New Roman" w:eastAsia="Times New Roman"/>
                <w:b w:val="false"/>
                <w:sz w:val="26"/>
              </w:rPr>
              <w:t>Thông tư số 01/2025/TT-BYT của Bộ Y tế: Quy định chi tiết và hướng dẫn thi hành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01-01-2025</w:t>
            </w:r>
          </w:p>
        </w:tc>
        <w:tc>
          <w:p/>
          <w:p>
            <w:pPr>
              <w:spacing w:after="0" w:before="0" w:lineRule="auto" w:line="276"/>
              <w:jc w:val="left"/>
            </w:pPr>
            <w:r>
              <w:rPr>
                <w:rFonts w:ascii="Times New Roman" w:hAnsi="Times New Roman" w:cs="Times New Roman" w:eastAsia="Times New Roman"/>
                <w:b w:val="false"/>
                <w:sz w:val="26"/>
              </w:rPr>
              <w:t>Bộ trưởng 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2026-10-23T02:55:49Z</dcterms:created>
  <dc:creator>Apache POI</dc:creator>
</cp:coreProperties>
</file>