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1848/QĐ-BTP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việc nuôi con nuôi trong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đăng ký lại việc nuôi con nuôi nộp Tờ khai đăng ký lại việc nuôi con nuôi cho Ủy ban nhân dân cấp xã nơi cha mẹ nuôi và con nuôi thường trú hoặc nơi đã đăng ký việc nuôi con nuôi trước đây. Tờ khai phải có cam đoan của người yêu cầu đăng ký lại về tính trung thực của việc đăng ký nuôi con nuôi trước đó và có chữ ký của ít nhất hai người làm chứng;
Lưu ý: Trường hợp người có yêu cầu lựa chọn nộp hồ sơ không phải tại Ủy ban nhân dân cấp xã nơi có thẩm quyền giải quyết, Ủy ban nhân dân cấp xã nơi tiếp nhận yêu cầu có trách nhiệm hỗ trợ người có yêu cầu nộp hồ sơ đăng ký lại nuôi con nuôi trực tuyến đến đúng Ủy ban nhân dân cấp xã có thẩm quyền theo quy định.
Ủy ban nhân dân cấp xã giải thích rõ cho người có yêu cầu đăng ký lại việc nuôi con nuôi về trách nhiệm, hệ quả pháp lý của việc cam đoan không đúng sự thật. Trường hợp có cơ sở xác định nội dung cam đoan không đúng sự thật, Ủy ban nhân dân cấp xã từ chối đăng ký lại việc nuôi con nuôi hoặc đề nghị cơ quan có thẩm quyền hủy bỏ kết quả đăng ký lại việc nuôi con nuôi.
- Chủ tịch Ủy ban nhân dân cấp xã ký Giấy chứng nhận nuôi con nuôi trong nước. Mục ghi chú của bản chính Giấy chứng nhận nuôi con nuôi và Sổ đăng ký nuôi con nuôi ghi rõ là đăng ký lại. 
Bản chính Giấy chứng nhận nuôi con nuôi trong nước được gửi cho người yêu cầu đăng ký lại qua hệ thống bưu chính hoặc trả trực tiếp tại Ủy ban nhân dân cấp xã. Bản điện tử Giấy chứng nhận nuôi con nuôi trong nước gửi qua Kho quản lý dữ liệu điện tử của cá nhận hoặc qua hộp thư điện tử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Cách thức thực hiện : Nộp cho Ủy ban nhân dân cấp xã thông qua hình thức nộp trực tiếp hoặc qua dịch vụ bưu chính hoặc trực tuyến trên môi trường điện tử.
Thời hạn giải quyết: Trong thời hạn 05 ngày làm việc,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Cách thức thực hiện : Nộp cho Ủy ban nhân dân cấp xã thông qua hình thức nộp trực tiếp hoặc qua dịch vụ bưu chính hoặc trực tuyến trên môi trường điện tử.
Thời hạn giải quyết: Trong thời hạn 05 ngày làm việc,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Cách thức thực hiện : Nộp cho Ủy ban nhân dân cấp xã thông qua hình thức nộp trực tiếp hoặc qua dịch vụ bưu chính hoặc trực tuyến trên môi trường điện tử.
Thời hạn giải quyết: Trong thời hạn 05 ngày làm việc,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lại việc nuôi  con nuôi. Tờ khai phải có  cam đoan của người yêu cầu đăng ký lại về tính trung thực của việc đăng ký nuôi con nuôi trước đó và có chữ ký của ít nhất hai người làm chứng.</w:t>
            </w:r>
          </w:p>
        </w:tc>
        <w:tc>
          <w:p/>
          <w:p>
            <w:pPr>
              <w:spacing w:after="0" w:before="0" w:lineRule="auto" w:line="276"/>
              <w:jc w:val="left"/>
            </w:pPr>
            <w:r>
              <w:rPr>
                <w:rFonts w:ascii="Times New Roman" w:hAnsi="Times New Roman" w:cs="Times New Roman" w:eastAsia="Times New Roman"/>
                <w:b w:val="false"/>
                <w:sz w:val="26"/>
              </w:rPr>
              <w:t>7.Tkhaingklivicnuiconnui.doc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Lưu ý: Khi nộp hồ sơ, trường hợp phải chứng minh nơi thường trú của cha mẹ nuôi và con nuôi, cán bộ, công chức, viên chức, cá nhân được giao trách nhiệm tiếp nhận, giải quyết hồ sơ phải khai thác, sử dụng thông tin về cư trú của công dân trong Cơ sở dữ liệu quốc gia về dân cư theo các phương thức nêu tại khoản 2 Điều 14 Nghị định số 104/2022/NĐ-CP ngày 21/12/2022 của Chính phủ.  Trường hợp không thể khai thác được thông tin cư trú của công dân theo các phương thức trên thì có thể yêu cầu người nộp hồ sơ nộp bản sao hoặc xuất trình một trong các giấy tờ chứng minh thông tin về cư trú, bao gồm: Thẻ căn cước; Giấy xác nhận thông tin về cư trú, Giấy thông báo số định danh cá nhân và thông tin công dân trong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nuôi con nuôi trong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52/2010/QH12 </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19/2011/NĐ-CP </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114/2016/NĐ-CP </w:t>
            </w:r>
          </w:p>
        </w:tc>
        <w:tc>
          <w:p/>
          <w:p>
            <w:pPr>
              <w:spacing w:after="0" w:before="0" w:lineRule="auto" w:line="276"/>
              <w:jc w:val="left"/>
            </w:pPr>
            <w:r>
              <w:rPr>
                <w:rFonts w:ascii="Times New Roman" w:hAnsi="Times New Roman" w:cs="Times New Roman" w:eastAsia="Times New Roman"/>
                <w:b w:val="false"/>
                <w:sz w:val="26"/>
              </w:rPr>
              <w:t>Nghị định 114/2016/NĐ-CP</w:t>
            </w:r>
          </w:p>
        </w:tc>
        <w:tc>
          <w:p/>
          <w:p>
            <w:pPr>
              <w:spacing w:after="0" w:before="0" w:lineRule="auto" w:line="276"/>
              <w:jc w:val="left"/>
            </w:pPr>
            <w:r>
              <w:rPr>
                <w:rFonts w:ascii="Times New Roman" w:hAnsi="Times New Roman" w:cs="Times New Roman" w:eastAsia="Times New Roman"/>
                <w:b w:val="false"/>
                <w:sz w:val="26"/>
              </w:rPr>
              <w:t>08-07-2016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267/2016/TT-BTC </w:t>
            </w:r>
          </w:p>
        </w:tc>
        <w:tc>
          <w:p/>
          <w:p>
            <w:pPr>
              <w:spacing w:after="0" w:before="0" w:lineRule="auto" w:line="276"/>
              <w:jc w:val="left"/>
            </w:pPr>
            <w:r>
              <w:rPr>
                <w:rFonts w:ascii="Times New Roman" w:hAnsi="Times New Roman" w:cs="Times New Roman" w:eastAsia="Times New Roman"/>
                <w:b w:val="false"/>
                <w:sz w:val="26"/>
              </w:rPr>
              <w:t>Thông tư 267/2016/TT-BTC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10/2020/TT-BTP</w:t>
            </w:r>
          </w:p>
        </w:tc>
        <w:tc>
          <w:p/>
          <w:p>
            <w:pPr>
              <w:spacing w:after="0" w:before="0" w:lineRule="auto" w:line="276"/>
              <w:jc w:val="left"/>
            </w:pPr>
            <w:r>
              <w:rPr>
                <w:rFonts w:ascii="Times New Roman" w:hAnsi="Times New Roman" w:cs="Times New Roman" w:eastAsia="Times New Roman"/>
                <w:b w:val="false"/>
                <w:sz w:val="26"/>
              </w:rPr>
              <w:t>Thông tư 10/2020/TT-BTP</w:t>
            </w:r>
          </w:p>
        </w:tc>
        <w:tc>
          <w:p/>
          <w:p>
            <w:pPr>
              <w:spacing w:after="0" w:before="0" w:lineRule="auto" w:line="276"/>
              <w:jc w:val="left"/>
            </w:pPr>
            <w:r>
              <w:rPr>
                <w:rFonts w:ascii="Times New Roman" w:hAnsi="Times New Roman" w:cs="Times New Roman" w:eastAsia="Times New Roman"/>
                <w:b w:val="false"/>
                <w:sz w:val="26"/>
              </w:rPr>
              <w:t>28-12-2020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10/2020/TT-BTP về việc ban hành, hướng dẫn việc ghi chép, sử dụng, quản lý và lưu trữ sổ, mẫu giấy tờ, hồ sơ nuôi con nuôi.</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Sổ đăng ký nuôi con nuôi và bản chính giấy tờ đăng ký nuôi con nuôi bị mất hoặc hư hỏng không sử dụng được; 
- Cha, mẹ nuôi và con nuôi đều còn sống vào thời điểm yêu cầu đăng ký lại.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2026-08-01T18:26:34Z</dcterms:created>
  <dc:creator>Apache POI</dc:creator>
</cp:coreProperties>
</file>