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đổi, điều chỉnh thông tin trên sổ BHXH, thẻ BHYT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Cấp sổ BHXH, thẻ BHYT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hồ sơ</w:t>
      </w:r>
    </w:p>
    <w:p>
      <w:pPr>
        <w:spacing w:after="0" w:before="0" w:lineRule="auto" w:line="276"/>
        <w:jc w:val="both"/>
      </w:pPr>
      <w:r>
        <w:rPr>
          <w:rFonts w:ascii="Times New Roman" w:hAnsi="Times New Roman" w:cs="Times New Roman" w:eastAsia="Times New Roman"/>
          <w:b w:val="false"/>
          <w:sz w:val="26"/>
        </w:rPr>
        <w:t>theo quy định tại mục Thành phần hồ sơ</w:t>
      </w:r>
    </w:p>
    <w:p>
      <w:pPr>
        <w:shd w:val="clear" w:color="auto" w:fill="F2F6F9"/>
        <w:spacing w:after="0" w:before="120" w:lineRule="auto" w:line="276"/>
        <w:jc w:val="both"/>
      </w:pPr>
      <w:r>
        <w:rPr>
          <w:rFonts w:ascii="Times New Roman" w:hAnsi="Times New Roman" w:cs="Times New Roman" w:eastAsia="Times New Roman"/>
          <w:b w:val="true"/>
          <w:sz w:val="26"/>
        </w:rPr>
        <w:t>Bước 2. Nộp hồ sơ</w:t>
      </w:r>
    </w:p>
    <w:p>
      <w:pPr>
        <w:spacing w:after="0" w:before="0" w:lineRule="auto" w:line="276"/>
        <w:jc w:val="both"/>
      </w:pPr>
      <w:r>
        <w:rPr>
          <w:rFonts w:ascii="Times New Roman" w:hAnsi="Times New Roman" w:cs="Times New Roman" w:eastAsia="Times New Roman"/>
          <w:b w:val="false"/>
          <w:sz w:val="26"/>
        </w:rPr>
        <w:t>1. Người tham gia
a) Người đang làm việc: Nộp hồ sơ cho đơn vị nơi đang làm việc hoặc nộp cho cơ quan BHXH trực tiếp thu.
b) Người tham gia BHXH tự nguyện, người tham gia BHYT theo hộ gia đình, người được ngân sách nhà nước hỗ trợ một phần mức đóng BHYT: Nộp hồ sơ cho Tổ chức dịch vụ hoặc cơ quan BHXH trực tiếp thu.
c) Người đang bảo lưu thời gian đóng BHXH hoặc đã được giải quyết hưởng lương hưu, trợ cấp BHXH đề nghị cấp lại, điều chỉnh nội dung trên sổ BHXH: Nộp cho cơ quan BHXH trên toàn quốc.
d) Người tham gia do tổ chức BHXH đóng BHYT: Nộp hồ sơ cho UBND xã hoặc cho cơ quan BHXH. Đối với người đang hưởng trợ cấp thất nghiệp khi cấp lại, đổi thẻ BHYT: Nộp hồ sơ cho cơ quan BHXH tỉnh. 
đ) Người tham gia do ngân sách nhà nước đóng, hỗ trợ 100% mức đóng BHYT: Nộp hồ sơ cho UBND xã hoặc cho cơ quan BHXH trực tiếp thu. Người đã hiến bộ phận cơ thể: nộp Giấy ra viện cho cơ quan BHXH trực tiếp thu.
e) Học sinh, sinh viên đóng BHYT: Nộp hồ sơ cho Cơ sở giáo dục.</w:t>
      </w:r>
    </w:p>
    <w:p>
      <w:pPr>
        <w:spacing w:after="0" w:before="0" w:lineRule="auto" w:line="276"/>
        <w:jc w:val="both"/>
      </w:pPr>
      <w:r>
        <w:rPr>
          <w:rFonts w:ascii="Times New Roman" w:hAnsi="Times New Roman" w:cs="Times New Roman" w:eastAsia="Times New Roman"/>
          <w:b w:val="false"/>
          <w:sz w:val="26"/>
        </w:rPr>
        <w:t>2. Đơn vị
a) Đơn vị SDLĐ: kê khai hồ sơ liên quan sau đó nộp hồ sơ cho cơ quan BHXH cấp tỉnh, cấp huyện 
b) UBND xã; Cơ sở trợ giúp xã hội, Cơ sở nuôi dưỡng, điều dưỡng thương binh và người có công; Cơ sở giáo dục nghề nghiệp thuộc ngành lao động, thương binh và xã hội; Tổ chức dịch vụ; Cơ sở giáo dục; Phòng/Tổ chế độ BHXH: kê khai hồ sơ liên quan sau đó nộp hồ sơ cho cơ quan BHXH.</w:t>
      </w:r>
    </w:p>
    <w:p>
      <w:pPr>
        <w:shd w:val="clear" w:color="auto" w:fill="F2F6F9"/>
        <w:spacing w:after="0" w:before="120" w:lineRule="auto" w:line="276"/>
        <w:jc w:val="both"/>
      </w:pPr>
      <w:r>
        <w:rPr>
          <w:rFonts w:ascii="Times New Roman" w:hAnsi="Times New Roman" w:cs="Times New Roman" w:eastAsia="Times New Roman"/>
          <w:b w:val="true"/>
          <w:sz w:val="26"/>
        </w:rPr>
        <w:t>Bước 3.</w:t>
      </w:r>
    </w:p>
    <w:p>
      <w:pPr>
        <w:spacing w:after="0" w:before="0" w:lineRule="auto" w:line="276"/>
        <w:jc w:val="both"/>
      </w:pPr>
      <w:r>
        <w:rPr>
          <w:rFonts w:ascii="Times New Roman" w:hAnsi="Times New Roman" w:cs="Times New Roman" w:eastAsia="Times New Roman"/>
          <w:b w:val="false"/>
          <w:sz w:val="26"/>
        </w:rPr>
        <w:t>Cơ quan BHXH tiếp nhận hồ sơ và giải quyết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4.</w:t>
      </w:r>
    </w:p>
    <w:p>
      <w:pPr>
        <w:spacing w:after="0" w:before="0" w:lineRule="auto" w:line="276"/>
        <w:jc w:val="both"/>
      </w:pPr>
      <w:r>
        <w:rPr>
          <w:rFonts w:ascii="Times New Roman" w:hAnsi="Times New Roman" w:cs="Times New Roman" w:eastAsia="Times New Roman"/>
          <w:b w:val="false"/>
          <w:sz w:val="26"/>
        </w:rPr>
        <w:t>Nhận kết quả giải quyết gồm sổ BHXH, thẻ BHYT theo hình thức đăng ký</w:t>
      </w:r>
    </w:p>
    <w:p>
      <w:pPr>
        <w:shd w:val="clear" w:color="auto" w:fill="F2F6F9"/>
        <w:spacing w:after="0" w:before="120" w:lineRule="auto" w:line="276"/>
        <w:jc w:val="both"/>
      </w:pPr>
      <w:r>
        <w:rPr>
          <w:rFonts w:ascii="Times New Roman" w:hAnsi="Times New Roman" w:cs="Times New Roman" w:eastAsia="Times New Roman"/>
          <w:b w:val="true"/>
          <w:sz w:val="26"/>
        </w:rPr>
        <w:t>Thời hạn giải quyết</w:t>
      </w:r>
    </w:p>
    <w:p>
      <w:pPr>
        <w:spacing w:after="0" w:before="0" w:lineRule="auto" w:line="276"/>
        <w:jc w:val="both"/>
      </w:pPr>
      <w:r>
        <w:rPr>
          <w:rFonts w:ascii="Times New Roman" w:hAnsi="Times New Roman" w:cs="Times New Roman" w:eastAsia="Times New Roman"/>
          <w:b w:val="false"/>
          <w:sz w:val="26"/>
        </w:rPr>
        <w:t>1. Cấp lại sổ BHXH do thay đổi họ, tên, chữ đệm; ngày, tháng, năm sinh; giới tính, dân tộc; quốc tịch; sổ BHXH mất, hỏng; cộng nối thời gian nhưng không phải đóng BHXH, điều chỉnh làm nghề hoặc công việc nặng nhọc, độc hại, nguy hiểm hoặc đặc biệt nặng nhọc độc hại, nguy hiểm hoặc gộp sổ BHXH: không quá 10 ngày kể từ ngày nhận đủ hồ sơ theo quy định. Trường hợp phải xác minh quá trình đóng BHXH ở tỉnh khác hoặc nhiều đơn vị nơi NLĐ có thời gian làm việc thì không quá 45 ngày nhưng phải có văn bản thông báo cho NLĐ biết.</w:t>
      </w:r>
    </w:p>
    <w:p>
      <w:pPr>
        <w:spacing w:after="0" w:before="0" w:lineRule="auto" w:line="276"/>
        <w:jc w:val="both"/>
      </w:pPr>
      <w:r>
        <w:rPr>
          <w:rFonts w:ascii="Times New Roman" w:hAnsi="Times New Roman" w:cs="Times New Roman" w:eastAsia="Times New Roman"/>
          <w:b w:val="false"/>
          <w:sz w:val="26"/>
        </w:rPr>
        <w:t>2. Điều chỉnh nội dung đã ghi trên sổ BHXH: không quá 5 ngày kể từ ngày nhận đủ hồ sơ theo quy định.</w:t>
      </w:r>
    </w:p>
    <w:p>
      <w:pPr>
        <w:spacing w:after="0" w:before="0" w:lineRule="auto" w:line="276"/>
        <w:jc w:val="both"/>
      </w:pPr>
      <w:r>
        <w:rPr>
          <w:rFonts w:ascii="Times New Roman" w:hAnsi="Times New Roman" w:cs="Times New Roman" w:eastAsia="Times New Roman"/>
          <w:b w:val="false"/>
          <w:sz w:val="26"/>
        </w:rPr>
        <w:t>3. Cấp lại, đổi thẻ BHYT:
+ Trường hợp thay đổi thông tin: Không quá 03 ngày kể từ ngày nhận đủ hồ sơ theo quy định.
+ Trường hợp không thay đổi thông tin hoặc người tham gia đang điều trị tại các cơ sở Khám chữa bệnh: trả trong ngày khi nhận đủ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Người tham gia và đơn vị nộp hồ sơ cho cơ quan BHXH bằng một trong các hình thức sau:
1.1. Trực tiếp tại Bộ phận Một cửa của cơ quan BHXH;
1.2. Thông qua dịch vụ bưu chính;
1.3. Trực tuyến tại Cổng Dịch vụ công quốc gia hoặc Cổng Dịch vụ công BHXH Việt Nam hoặc thông qua Tổ chức I-VAN.
2. Nhận kết quả giải quyết:
a) Người tham gia nhận sổ BHXH, thẻ BHYT theo hình thức đăng ký.
b) Đơn vị nhận kết quả trực tiếp tại Bộ phận Một cửa của cơ quan BHXH hoặc qua dịch vụ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Người tham gia và đơn vị nộp hồ sơ cho cơ quan BHXH bằng một trong các hình thức sau:
1.1. Trực tiếp tại Bộ phận Một cửa của cơ quan BHXH;
1.2. Thông qua dịch vụ bưu chính;
1.3. Trực tuyến tại Cổng Dịch vụ công quốc gia hoặc Cổng Dịch vụ công BHXH Việt Nam hoặc thông qua Tổ chức I-VAN.
2. Nhận kết quả giải quyết:
a) Người tham gia nhận sổ BHXH, thẻ BHYT theo hình thức đăng ký.
b) Đơn vị nhận kết quả trực tiếp tại Bộ phận Một cửa của cơ quan BHXH hoặc qua dịch vụ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Người tham gia và đơn vị nộp hồ sơ cho cơ quan BHXH bằng một trong các hình thức sau:
1.1. Trực tiếp tại Bộ phận Một cửa của cơ quan BHXH;
1.2. Thông qua dịch vụ bưu chính;
1.3. Trực tuyến tại Cổng Dịch vụ công quốc gia hoặc Cổng Dịch vụ công BHXH Việt Nam hoặc thông qua Tổ chức I-VAN.
2. Nhận kết quả giải quyết:
a) Người tham gia nhận sổ BHXH, thẻ BHYT theo hình thức đăng ký.
b) Đơn vị nhận kết quả trực tiếp tại Bộ phận Một cửa của cơ quan BHXH hoặc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 Đối với cấp lại, đổi, điều chỉnh thông tin trên sổ BHXH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Trường hợp cấp lại sổ BHXH do mất, hỏng: Tờ khai tham gia, điều chỉnh thông tin BHXH, BHYT (mẫu TK1-TS).</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Trường hợp gộp sổ BHXH:  - Tờ khai tham gia, điều chỉnh thông tin BHXH, BHYT (mẫu TK1-TS);  - Các sổ BHXH đề nghị gộp (nếu có).</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Trường hợp cấp lại sổ BHXH do thay đổi họ, tên, chữ đệm; ngày, tháng, năm sinh; giới tính, quốc tịch, dân tộc, điều chỉnh nội dung trên sổ BHXH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3.1. Đối với người tham gia: - Tờ khai tham gia, điều chỉnh thông tin BHXH, BHYT (mẫu TK1-TS). - Hồ sơ liên quan kèm theo tương ứng như sau: a) Trường hợp điều chỉnh thay đổi họ, tên, chữ đệm; ngày, tháng, năm sinh; giới tính; dân tộc; quốc tịch:  Căn cước công dân hoặc hộ chiếu do cơ quan có thẩm quyền cấp theo quy định. Nếu là Đảng viên: cung cấp thêm lý lịch đảng viên (hồ sơ gốc) khi được kết nạp vào Đảng.  b) Trường hợp người tham gia thay đổi nơi làm việc: Quyết định (văn bản) chứng minh địa điểm làm việc. (tài liệu hồ sơ nộp theo hướng dẫn tại Mục 3, 4 Phụ lục 01).</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3.2. Đối với Đơn vị: trong trường hợp NLĐ nộp hồ sơ qua đơn vị. - Xác nhận vào Tờ khai (TK1-TS) khi NLĐ đề nghị điều chỉnh thông tin nhân thân trên sổ BHXH. Nội dung xác nhận: Thông tin điều chỉnh là đúng với hồ sơ quản lý và chịu trách nhiệm trước pháp luật về nội dung xác nhận, ký, đóng dấu và ghi rõ họ tên (Đối với người đang bảo lưu thời gian đóng BHXH thì không phải xác nhận); - Các hồ sơ, tài liệu kèm theo do NLĐ cung cấp</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3.3. Đối với cơ quan BHXH (Phòng/Tổ chế độ BHXH): Lập danh sách và hồ sơ người lao động giải quyết BHXH một lần còn thời gian BHTN chưa hưởng; người tham gia hưởng, dừng hưởng, hủy hưởng trợ cấp thất nghiệp (Mẫu D16-TS) gửi Phòng/Tổ Quản lý Thu - Sổ, Thẻ để đối chiếu và xác nhận lại dữ liệu tổng thời gian đóng BHTN chưa hưởng trên cơ sở dữ liệu thu toàn quốc.</w:t>
            </w:r>
          </w:p>
        </w:tc>
        <w:tc>
          <w:p/>
          <w:p>
            <w:pPr>
              <w:spacing w:after="0" w:before="0" w:lineRule="auto" w:line="276"/>
              <w:jc w:val="left"/>
            </w:pPr>
            <w:r>
              <w:rPr>
                <w:rFonts w:ascii="Times New Roman" w:hAnsi="Times New Roman" w:cs="Times New Roman" w:eastAsia="Times New Roman"/>
                <w:b w:val="false"/>
                <w:sz w:val="26"/>
              </w:rPr>
              <w:t>Mẫu D16-TS.docx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Trường hợp ghi xác nhận thời gian đóng BHXH trên sổ BHXH cho người tham gia được cộng nối thời gian nhưng không phải đóng BHXH trước năm 1995:  - Tờ khai tham gia, điều chỉnh thông tin BHXH, BHYT (mẫu TK1-TS)  - Hồ sơ liên quan kèm theo tương ứng với từng trường hợp (theo hướng dẫn tại mục 1 Phụ lục 01 ban hành kèm theo Quyết định số 948/QĐ-BHXH ngày 05/6/2023 của BHXH Việt Nam), như sau:</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4.1. Trường hợp cấp và ghi xác nhận thời gian đóng BHXH cho người lao động có thời gian công tác trước năm 1995 (không bao gồm người bị kỷ luật buộc thôi việc hoặc tự ý bỏ việc, bị phạt tù giam trước ngày 01/01/1995), hồ sơ bao gồm: a) Lý lịch gốc và lý lịch bổ sung (nếu có) của người lao động, quyết định tiếp nhận, hợp đồng lao động, các giấy tờ có liên quan khác như: quyết định nâng bậc lương, quyết định điều động hoặc quyết định chuyển công tác, quyết định phục viên xuất ngũ, chuyển ngành, giấy thôi trả lương ...; b) Đối với người nghỉ chờ việc từ tháng 11/1987 đến trước ngày 01/01/1995: hồ sơ như điểm a, thêm Quyết định nghỉ chờ việc và Danh sách của đơn vị hoặc các giấy tờ xác định người lao động có tên trong danh sách của đơn vị đến ngày 31/12/1994. - Trường hợp không có quyết định nghỉ chờ việc thì phải có xác nhận bằng văn bản của thủ trưởng đơn vị tại thời điểm lập hồ sơ đề nghị cấp sổ BHXH, trong đó đảm bảo người lao động có tên trong danh sách của đơn vị tại thời điểm có quyết định nghỉ chờ việc và chưa hưởng các khoản trợ cấp một lần. - Trường hợp đơn vị đã giải thể thì do cơ quan quản lý cấp trên trực tiếp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4.2. Trường hợp cấp và ghi xác nhận thời gian đóng BHXH đối với cán bộ, công chức, viên chức, công nhân, quân nhân và công an nhân dân thuộc biên chế các cơ quan Nhà nước, tổ chức chính trị - xã hội, doanh nghiệp Nhà nước, đơn vị lực lượng vũ trang đã xuất cảnh hợp pháp ra nước ngoài, đã về nước nhưng không đúng hạn hoặc về nước đúng thời hạn nhưng đơn vị cũ không bố trí, sắp xếp được việc làm và người lao động tự do được cử đi hợp tác lao động sau khi về nước tiếp tục tham gia đóng BHXH bắt buộc (không bao gồm những trường hợp vi phạm pháp luật ở nước ngoài bị trục xuất về nước hoặc bị kỷ luật buộc phải về nước hoặc bị phạt tù giam trước ngày 01/01/1995): a) Hồ sơ kèm theo của người lao động có thời hạn ở nước ngoài theo Hiệp định của Chính phủ và của người đi làm đội trưởng, phiên dịch, cán bộ vùng do nước ngoài trả lương bao gồm: - Lý lịch gốc, lý lịch bổ sung (nếu có), các giấy tờ gốc có liên quan đến thời gian làm việc, tiền lương của người lao động trước khi đi làm việc ở nước ngoài; quyết định tiếp nhận trở lại làm việc đối với trường hợp người lao động về nước và tiếp tục làm việc trước ngày 01/01/1995. Trường hợp không có Quyết định tiếp nhận thì được thay thế bằng lý lịch do người lao động khai khi được tiếp nhận trở lại làm việc hoặc lý lịch của người lao động khai có xác nhận của đơn vị tiếp nhận. - Bản chính “Thông báo chuyển trả” hoặc “Quyết định chuyển trả” của Cục Hợp tác quốc tế về lao động (nay là Cục Quản lý lao động ngoài nước) cấp. Trường hợp không còn bản chính “Thông báo chuyển trả” hoặc “Quyết định chuyển trả” thì phải có Giấy xác nhận về thời gian đi hợp tác lao động để giải quyết chế độ bảo hiểm xã hội của Cục Quản lý lao động ngoài n¬ước trên cơ sở đơn đề nghị của người lao động. - Giấy xác nhận chưa nhận chế độ trợ cấp một lần, trợ cấp phục viên, xuất ngũ sau khi về nước của cơ quan, đơn vị trực tiếp quản lý người lao động trước khi đi công tác, làm việc có thời gian ở nước ngoài. Trường hợp cơ quan, đơn vị đã giải thể thì cơ quan, đơn vị quản lý cấp trên trực tiếp xác nhận. b) Hồ sơ kèm theo của người đi làm việc ở nước ngoài theo hình thức hợp tác trực tiếp giữa các Bộ, ngành và UBND các tỉnh, thành phố với các tổ chức kinh tế của nước ngoài bao gồm: - Lý lịch gốc, lý lịch bổ sung (nếu có), các giấy tờ gốc có liên quan đến thời gian làm việc, tiền lương của người lao động trước khi đi làm việc ở nước ngoài; quyết định tiếp nhận trở lại làm việc đối với trường hợp người lao động về nước và tiếp tục làm việc trước ngày 01/01/1995. Trường hợp không có Quyết định tiếp nhận thì được thay thế bằng Lý lịch do người lao động khai khi được tiếp nhận trở lại làm việc hoặc lý lịch của người lao động khai có xác nhận của đơn vị tiếp nhận. - Giấy xác nhận chưa nhận chế độ trợ cấp một lần, trợ cấp phục viên, xuất ngũ sau khi về nước của cơ quan, đơn vị trực tiếp quản lý người lao động trước khi đi công tác, làm việc có thời gian ở nước ngoài. Trường hợp cơ quan, đơn vị đã giải thể thì cơ quan, đơn vị quản lý cấp trên trực tiếp xác nhận. - Bản chính Quyết định cử đi công tác, làm việc có thời hạn ở nước ngoài hoặc bản sao Quyết định trong trường hợp người lao động được cử đi công tác, làm việc có thời hạn ở nư¬ớc ngoài bằng một Quyết định chung cho nhiều người. + Trường hợp không còn bản chính Quyết định cử đi công tác, làm việc có thời hạn ở nước ngoài thì được thay thế bằng bản sao Quyết định có xác nhận của đơn vị cử đi. + Trường hợp không có Quyết định cử đi công tác, làm việc, học tập, thực tập có thời hạn ở nước ngoài thì phải có xác nhận bằng văn bản của thủ trưởng cơ quan, đơn vị cử người lao động, trong đó ghi rõ thời gian người lao động được cử đi công tác, làm việc, học tập, thực tập có thời hạn ở nước ngoài và phải chịu trách nhiệm trước pháp luật về nội dung xác nhận. Trường hợp cơ quan, đơn vị cử đi không còn tồn tại thì cơ quan quản lý cấp trên trực tiếp xác nhận và chịu trách nhiệm trước pháp luật về nội dung xác nhận. c) Hồ sơ kèm theo của người đi học tập, thực tập ở nước ngoài bao gồm: - Lý lịch gốc, lý lịch bổ sung (nếu có), các giấy tờ gốc có liên quan đến thời gian làm việc, tiền lương của người lao động trước khi đi làm việc ở nước ngoài; quyết định tiếp nhận trở lại làm việc đối với trường hợp người lao động về nước và tiếp tục làm việc trước ngày 01 tháng 01 năm 1995. Trường hợp không có Quyết định tiếp nhận thì được thay thế bằng Lý lịch do người lao động khai khi được tiếp nhận trở lại làm việc hoặc lý lịch của người lao động khai có xác nhận của đơn vị tiếp nhận. - Giấy xác nhận chưa nhận chế độ trợ cấp một lần, trợ cấp phục viên, xuất ngũ sau khi về nước của cơ quan, đơn vị trực tiếp quản lý người lao động trước khi đi công tác, làm việc có thời gian ở nước ngoài. Trường hợp cơ quan, đơn vị đã giải thể thì cơ quan, đơn vị quản lý cấp trên trực tiếp xác nhận. - Bản chính Quyết định cử đi học tập, thực tập có thời hạn ở nước ngoài hoặc bản sao Quyết định trong trường hợp người lao động được cử đi học tập, thực tập có thời hạn ở nước ngoài bằng một Quyết định chung cho nhiều người. + Trường hợp không còn bản chính Quyết định cử đi học tập, thực tập có thời hạn ở nước ngoài thì được thay thế bằng bản sao Quyết định có xác nhận của đơn vị cử đi.  + Trường hợp không có Quyết định cử đi công tác, làm việc, học tập, thực tập có thời hạn ở nước ngoài thì phải có xác nhận bằng văn bản của thủ trưởng cơ quan, đơn vị cử người lao động, trong đó ghi rõ thời gian người lao động được cử đi công tác, làm việc, học tập, thực tập có thời hạn ở nước ngoài và phải chịu trách nhiệm trước pháp luật về nội dung xác nhận. Trường hợp cơ quan, đơn vị cử đi không còn tồn tại thì cơ quan quản lý cấp trên trực tiếp xác nhận và chịu trách nhiệm trước pháp luật về nội dung xác nhận. d) Hồ sơ kèm theo của người đi làm chuyên gia theo Hiệp định của Chính phủ bao gồm: - Lý lịch gốc, lý lịch bổ sung (nếu có), các giấy tờ gốc có liên quan đến thời gian làm việc, tiền lương của người lao động trước khi đi làm việc ở nước ngoài; quyết định tiếp nhận trở lại làm việc đối với trường hợp người lao động về nước và tiếp tục làm việc trước ngày 01/01/1995. Trường hợp không có Quyết định tiếp nhận thì được thay thế bằng Lý lịch do người lao động khai khi được tiếp nhận trở lại làm việc hoặc lý lịch của người lao động khai có xác nhận của đơn vị tiếp nhận. - Giấy xác nhận chưa nhận chế độ trợ cấp một lần, trợ cấp phục viên, xuất ngũ sau khi về nước của cơ quan, đơn vị trực tiếp quản lý người lao động trước khi đi công tác, làm việc có thời gian ở nước ngoài. Trường hợp cơ quan, đơn vị đã giải thể thì cơ quan, đơn vị quản lý cấp trên trực tiếp xác nhận. - Bản chính Quyết định cử đi làm chuyên gia ở nước ngoài hoặc bản sao Quyết định trong trường hợp người lao động được cử đi làm chuyên gia bằng một Quyết định chung cho nhiều người.  + Trường hợp không còn bản chính Quyết định cử đi làm chuyên gia ở nước ngoài thì được thay thế bằng bản sao Quyết định có xác nhận của đơn vị cử đi. + Trường hợp không có Quyết định cử đi công tác, làm việc, học tập, thực tập có thời hạn ở nước ngoài thì phải có xác nhận bằng văn bản của thủ trưởng cơ quan, đơn vị cử người lao động, trong đó ghi rõ thời gian người lao động được cử đi công tác, làm việc, học tập, thực tập có thời hạn ở nước ngoài và phải chịu trách nhiệm trước pháp luật về nội dung xác nhận. Trường hợp cơ quan, đơn vị cử đi không còn tồn tại thì cơ quan quản lý cấp trên trực tiếp xác nhận và chịu trách nhiệm trước pháp luật về nội dung xác nhận. - Giấy xác nhận của cơ quan quản lý chuyên gia về việc đã hoàn thành nghĩa vụ đóng góp cho ngân sách nhà nước và đóng BHXH theo quy định của Nhà nước của chuyên gia trong thời gian làm việc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4.3. Ghi xác nhận thời gian đóng BHXH đối với cán bộ có thời gian làm việc ở xã, phường, thị trấn, bao gồm cả chức danh khác theo quy định tại Khoản 4, Điều 8 Thông tư liên tịch số 03/2010/TTLT-BNV-BTC-BLĐTBXH, hồ sơ kèm theo bao gồm: - Hồ sơ, lý lịch gốc của cá nhân; - Các giấy tờ liên quan chứng minh thời gian làm việc ở xã, phường, thị trấn (danh sách, Quyết định phân công, Quyết định hưởng sinh hoạt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4.4. Trường hợp ghi xác nhận thời gian đóng BHXH đối với người có thời gian làm Chủ nhiệm Hợp tác xã nông nghiệp, ngư nghiệp, diêm nghiệp có quy mô toàn xã, hồ sơ kèm theo bao gồm: - Hồ sơ lý lịch gốc của cá nhân, hồ sơ đảng viên khai trong thời gian làm Chủ nhiệm hợp tác xã, sổ sách hoặc giấy tờ liên quan như: danh sách trích ngang, danh sách chi trả sinh hoạt phí, danh sách hoặc Quyết định phê duyệt, công nhận kết quả bầu cử… thể hiện có thời gian làm Chủ nhiệm Hợp tác xã từ ngày 01/7/1997 trở về trước. Trường hợp không có giấy tờ nêu trên nhưng có cơ sở xác định người lao động có thời gian làm Chủ nhiệm Hợp tác xã thì UBND cấp xã phối hợp với Đảng ủy, HĐND xã nơi người lao động kê khai có thời gian làm Chủ nhiệm hợp tác xã xác minh, nếu đủ căn cứ xác định người lao động có thời gian làm Chủ nhiệm hợp tác xã thì có văn bản (biên bản) xác nhận về thời gian làm Chủ nhiệm Hợp tác xã, thời gian công tác giữ chức danh, chức vụ theo quy định tại Điều 1, Quyết định số 250/QĐ-TTg và cam kết chịu trách nhiệm trước pháp luật về nội dung xác nhận. - Danh sách phê duyệt của UBND tỉnh, thành phố trực thuộc Trung ương (gọi tắt UBND tỉnh) đối với người lao động có thời gian làm Chủ nhiệm hợp tác xã có quy mô toàn xã từ ngày 01/7/1997 trở về trước (Mẫu do UBND tỉnh ban hành).  - Danh sách phê duyệt hồ sơ tính thời gian làm Chủ nhiệm Hợp tác xã của UBND tỉnh. - Giấy xác nhận về thời gian làm Chủ nhiệm Hợp tác xã (Mẫu số 02-QĐ250 kèm theo Quyết định số 250/QĐ-TTg ngày 29/01/2013 của Thủ tướng Chính phủ) đối với người không cư trú tại tỉnh, thành phố có thời gian làm chủ nhiệm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4.5. Trường hợp ghi xác nhận thời gian đóng BHXH theo quy định tại Khoản 2, Điều 23 Nghị định số 115/2015/NĐ-CP ngày 11/11/2015 của Chính phủ, hồ sơ bao gồm: - Quyết định phục viên hoặc xuất ngũ hoặc thôi việc. Trường hợp quân nhân bị mất quyết định phục viên, xuất ngũ thì cung cấp giấy xác nhận của Thủ trưởng cấp Trung đoàn và tương đương trở lên nơi trực tiếp quản lý đối tượng trước khi phục viên, xuất ngũ hoặc trực tiếp quản lý đối tượng sau khi phục viên xuất ngũ thường trú tại địa phương hoặc Lý lịch Quân nhân, Lý lịch Đảng viên xác định rõ thời gian công tác trong quân đội; - Giấy xác nhận chưa hưởng chế độ trợ cấp theo Quyết định số 47/2002/QĐ-TTg ngày 11/4/2002; Điểm a Khoản 1 Điều 1 Quyết định số 290/2005/QĐ-TTg ngày 08/11/2005; Quyết định số 92/2005/QĐ-TTg ngày 29/4/2005; Quyết định số 142/2008/QĐ-TTg ngày 2/10/2008; Quyết định số 38/2010/QĐ-TTg ngày 06/5/2010; Quyết định số 53/2010/QĐ-TTg ngày 20/8/2010 và Quyết định số 62/2011/QĐ-TTg ngày 09/11/2011 của Thủ tướng Chính phủ; - Quyết định về việc thu hồi Quyết định hưởng chế độ và số tiền trợ cấp một lần theo Quyết định số 142/2008/QĐ-TTg ngày 27/10/2008 của Thủ tướng Chính phủ hoặc Quyết định số 38/2010/QĐ-TTg ngày 06/05/10 của Thủ tướng Chính phủ hoặc Quyết định thu hồi các Quyết định hưởng trợ cấp hàng tháng hoặc trợ cấp một lần theo quy định tại Quyết định số 62/2011/QĐ-TTg ngày 09/11/2011 của Thủ tướng Chính phủ (nếu có). - Giấy xác nhận chưa giải quyết trợ cấp thôi việc hoặc trợ cấp một lần, trợ cấp xuất ngũ, phục viên, BHXH một lần đối với trường hợp quân nhân, công an nhân dân phục viên, xuất ngũ, thôi việc từ ngày 15/12/1993 đến ngày 31/12/1994.</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Điều chỉnh làm nghề hoặc công việc nặng nhọc, độc hại, nguy hiểm hoặc đặc biệt nặng nhọc, độc hại nguy hiểm a) Tờ khai tham gia, điều chỉnh thông tin BHXH, BHYT (mẫu TK1-TS); b) Hồ sơ kèm theo gồm một trong các loại giấy tờ sau: Quyết định phân công vị trí công việc, hưởng lương; Hợp đồng lao động, Hợp đồng làm việc và các giấy tờ khác có liên quan tới việc điều chỉnh.</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 Đối với cấp lại, đổi, điều chỉnh thông tin trên thẻ BHYT: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Người tham gia: - Tờ khai tham gia, điều chỉnh thông tin BHXH, BHYT (Mẫu TK1-TS) Lưu ý: Người tham gia BHYT được thay đổi cơ sở đăng ký khám chữa bệnh ban đầu vào tháng đầu quý.</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1.1. Trường hợp NLĐ đổi thẻ BHYT do được hưởng quyền lợi BHYT cao hơn bổ sung Giấy tờ chứng minh cụ thể như sau: a) Đối với người có công với cách mạng quy định tại Pháp lệnh Ưu đãi người có công với cách mạng a.1) Người có công với cách mạng theo quy định tại Pháp lệnh Ưu đãi người có công với cách mạng, bao gồm: Người hoạt động cách mạng trước ngày 01/01/1945; người hoạt động cách mạng từ ngày 01/01/1945 đến ngày khởi nghĩa tháng 8/1945; Bà mẹ Việt Nam anh hùng; thương binh, người hưởng chính sách như thương binh, thương binh loại B, bệnh binh suy giảm khả năng lao động từ 81% trở lên; người hoạt động kháng chiến bị nhiễm chất độc hóa học có tỷ lệ suy giảm khả năng lao động từ 81% trở lên. Hồ sơ gồm một trong các loại giấy tờ sau: - Thẻ thương binh, thẻ bệnh binh; - Giấy chứng nhận người hưởng chính sách như thương binh; - Quyết định công nhận là người hoạt động cách mạng trước ngày 01/01/1945, người hoạt động cách mạng từ ngày 01/01/1945 đến ngày khởi nghĩa tháng 8/1945 của Ban Thường vụ tỉnh ủy, Thành ủy trực thuộc Trung ương; - Quyết định hưởng trợ cấp của Sở Lao động - Thương binh và Xã hội; - Giấy xác nhận của Sở Lao động Thương binh và Xã hội nơi đang hưởng trợ cấp hằng tháng hoặc đã giải quyết trợ cấp một lần (theo hướng dẫn về cơ sở xác định là người có công với cách mạng tại Công văn số 467/NCC ngày 17/6/2010 của Bộ Lao động - Thương binh và Xã hội); - Quyết định hưởng trợ cấp, phụ cấp đối với người hoạt động kháng chiến bị nhiễm chất độc hóa học, ghi rõ tỷ lệ suy giảm khả năng lao động từ 81% trở lên theo quy định tại Thông tư số 05/2013/TT-BLĐTBXH ngày 15/5/2013 của Bộ Lao động - Thương binh  Xã hội. a.2) Người có công với cách mạng theo quy định tại Pháp lệnh ưu đãi người có công với cách mạng, trừ các đối tượng nêu tại điểm a.1. Hồ sơ gồm một trong các loại giấy tờ sau: - Huân chương Kháng chiến; - Huy chương Kháng chiến; - Huân chương Chiến thắng; - Huy chương Chiến thắng; - Thẻ thương binh, thẻ bệnh binh; - Giấy chứng nhận người hưởng chính sách như thương binh; - Giấy chứng nhận về khen thưởng tổng kết thành tích kháng chiến và thời gian hoạt động kháng chiến của cơ quan Thi đua Khen thưởng cấp huyện;  - Quyết định hưởng trợ cấp của Sở Lao động - Thương binh và Xã hội. - Giấy xác nhận của Sở Lao động Thương binh và Xã hội nơi đang hưởng trợ cấp hàng tháng hoặc đã giải quyết trợ cấp một lần (theo hướng dẫn về cơ sở xác định là người có công với cách mạng tại Công văn số 467/NCC ngày 17/6/2010 của Bộ Lao động - Thương binh và Xã hội); b) Cựu chiến binh theo quy định tại Nghị định số 150/2006/NĐ-CP, Nghị định số 157/2016/NĐ-CP  b.1) Đối với cựu chiến binh giai đoạn trước 30/4/1975, hồ sơ gồm một trong các loại giấy tờ sau: - Quyết định phục viên hoặc xuất ngũ hoặc chuyển ngành. - Quyết định được hưởng trợ cấp theo Quyết định số 142/2008/QĐ-TTg;  - Quyết định được hưởng trợ cấp theo QĐ số 38/2010/QĐ-TTg. b.2) Cựu chiến binh giai đoạn từ 30/4/1975 đến trước thời kỳ xây dựng và bảo vệ Tổ quốc: Hồ sơ gồm một trong các loại giấy tờ sau: - Quyết định phục viên hoặc xuất ngũ hoặc chuyển ngành ghi rõ thời gian, địa điểm nơi trực tiếp chiến đấu, trực tiếp phục vụ chiến đấu theo quy định tại Quyết định 62/2011/QĐ-TTg ngày 09/11/2011 của Thủ tướng Chính phủ. Trường hợp Quyết định phục viên, xuất ngũ, chuyển ngành không ghi rõ thời gian, địa điểm nơi trực tiếp chiến đấu, trực tiếp phục vụ chiến đấu thì bổ sung bản xác nhận về địa bàn phục vụ trong quân đội của cấp trung đoàn hoặc tương đương trở lên nơi trực tiếp quản lý đối tượng trước khi phục viên, xuất ngũ theo mẫu số 04B-HBKV - Bản khai cá nhân về thời gian, địa bàn phục vụ trong quân đội có hưởng phụ cấp khu vực (ban hành kèm theo Thông tư số 181/2016/TT-BQP đối với người có thời gian phục vụ trong quân đội trước ngày 01/01/2007) - Quyết định được hưởng trợ cấp theo Quyết định 62/2011/QĐ-TTg đối với các trường hợp là cựu chiến binh quy định tại Nghị định số 146/2018/NĐ-CP. b.3)  Đối với sỹ quan, quân nhân chuyên nghiệp đã hoàn thành nhiệm vụ tại ngũ trong thời kỳ xây dựng và bảo vệ tổ quốc đã nghỉ hưu, phục viên, chuyển ngành: Quyết định phục viên, xuất ngũ hoặc chuyển ngành. c) Đối với cha đẻ, mẹ đẻ, vợ hoặc chồng, con của liệt sỹ; người có công nuôi dưỡng liệt sỹ. Hồ sơ kèm theo gồm một trong các giấy tờ sau:  - Giấy chứng nhận gia đình liệt sỹ hoặc Quyết định cấp Giấy chứng nhận gia đình liệt sỹ và trợ cấp tiền tuất của Sở Lao động Thương binh và Xã hội theo quy định tại Thông tư 05/2013/TT-BLĐTBXH ngày 15/5/2013 của Bộ Lao động - Thương binh và Xã hội. - Giấy xác nhận của Sở Lao động Thương binh và Xã hội nơi tiếp nhận, quản lý hồ sơ và làm thủ tục mua BHYT cho thân nhân của liệt sỹ và người có công nuôi dưỡng liệt sỹ theo quy định tại Thông tư số 05/2013/TT-BLĐTBXH. d) Thân nhân người có công với cách mạng (trừ trường hợp là cha đẻ, mẹ đẻ, vợ hoặc chồng, con của liệt sỹ; người có công nuôi dưỡng liệt sỹ), bao gồm: - Cha đẻ, mẹ đẻ, vợ hoặc chồng, con từ trên 6 tuổi đến dưới 18 tuổi hoặc từ đủ 18 tuổi trở lên nếu còn tiếp tục đi học hoặc bị khuyết tật nặng, khuyết tật đặc biệt nặng của các đối tượng: Người hoạt động cách mạng trước ngày 01/01/1945; người hoạt động cách mạng từ ngày 01/01/1945 đến ngày khởi nghĩa tháng Tám năm 1945; Anh hùng Lực lượng vũ trang nhân dân, Anh hùng Lao động trong thời kỳ kháng chiến; thương binh, bệnh binh suy giảm khả năng lao động từ 61% trở lên; người hoạt động kháng chiến bị nhiễm chất độc hóa học suy giảm khả năng lao động từ 61% trở lên; - Con đẻ từ trên 6 tuổi của người hoạt động kháng chiến bị nhiễm chất độc hóa học bị dị dạng, dị tật do hậu quả của chất độc hóa học không tự lực được trong sinh hoạt hoặc suy giảm khả năng tự lực trong sinh hoạt Hồ sơ gồm giấy tờ sau: Giấy xác nhận của Sở Lao động - Thương binh và Xã hội nơi tiếp nhận, quản lý hồ sơ và làm thủ tục mua BHYT cho thân nhân của người có công với cách mạng theo quy định tại Thông tư số 05/2013/TT-BLĐTBXH của Bộ Lao động - Thương binh và Xã hội. đ) Người thuộc đối tượng bảo trợ xã hội theo Nghị định số 20/2021/NĐ-CP ngày 15/3/2021 của Chính phủ. Hồ sơ kèm theo gồm một trong các loại giấy tờ sau: - Giấy xác nhận khuyết tật, ghi rõ mức độ khuyết tật thuộc các đối tượng người khuyết tật nặng và người khuyến tật đặc biệt nặng theo Thông tư số 01/2019/TT-BLĐTBXH ngày 02/01/2019. - Quyết định trợ cấp xã hội hằng tháng của Chủ tịch Ủy ban nhân dân quận, huyện, thị xã (sau đây gọi là Ủy ban nhân dân cấp huyện) đối với người thuộc diện hưởng trợ cấp bảo trợ xã hội hằng tháng e) Người thuộc hộ gia đình nghèo; hộ gia đình cận nghèo; hộ gia đình làm nông nghiệp, lâm nghiệp, ngư nghiệp và diêm nghiệp có mức sống trung bình. Hồ sơ kèm theo gồm một trong các loại giấy tờ sau:  - Giấy chứng nhận học sinh, sinh viên thuộc hộ nghèo theo Thông tư liên tịch số 18/2009/TTLT-BGDĐT-BTC-BLĐTBXH (03/8/2009);  - Xác nhận của chủ tịch UBND xã, phường, thị trấn đối với người thuộc hộ gia đình nghèo, hộ gia đình cận nghèo theo kết quả rà soát thường xuyên (quy định tại Điều 5 Thông tư số 17/2016/TT-BLĐTBXH và Khoản 2, 3 Điều 1 Thông tư số 14/2018/TT-BLĐTBXH sửa đổi, bổ sung một số điều của Thông tư số 17/2016/TT-BLĐTBXH).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1.2. Trường hợp điều chỉnh họ, tên, chữ đệm; ngày, tháng, năm sinh; giới tính đối với người chỉ tham gia BHYT; hồ sơ gồm một trong các loại giấy tờ sau a) Người chỉ tham gia BHYT thay đổi họ, tên, chữ đệm; ngày, tháng, năm sinh; giới tính trên thẻ BHYT. Hồ sơ gửi kèm theo gồm một trong các giấy tờ sau: Căn cước công dân hoặc hộ chiếu hoặc giấy Thông báo số định danh cá nhân và thông tin trong Cơ sở dữ liệu quốc gia về dân cư (Mẫu số 01 ban hành kèm theo Thông tư số 59/2021/TT-BCA, ngày 15/5/2021) b) Trường hợp người tham gia đang hưởng chế độ hưu trí hoặc trợ cấp BHXH do cơ quan BHXH quản lý đề nghị điều chỉnh để đi khám bệnh, chữa bệnh: Căn cước công dân (theo hướng dẫn tại Công văn số 2754/BHXH-CSXH ngày 05/9/2023) Ghi chú: người tham gia không có giấy tờ nêu tại phụ lục, mà có các giấy tờ liên quan khác để chứng minh, làm căn cứ điều chỉnh (trừ các trường hợp: điều chỉnh nhân thân, bổ sung mã nơi đối tượng sinh sống) như: giấy tờ chứng minh là người có công với cách mạng; cựu chiến binh theo quy định tại Pháp lệnh Cựu chiến binh; người tham gia kháng chiến… thì đơn vị nộp các giấy tờ này cho cơ quan BHXH để xem xét,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Đơn vị (trong trường hợp NLĐ nộp hồ sơ qua đơn vị): Xác nhận Tờ khai (TK1-TS) khi NLĐ điều chỉnh thông tin nhân thân trên thẻ BHYT; đối với người đang bảo lưu thời gian đóng BHXH thì đơn vị không phải xác nhận.</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Sổ BHXH, Thẻ BHYT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01/2016/TT-BLĐTBXH</w:t>
            </w:r>
          </w:p>
        </w:tc>
        <w:tc>
          <w:p/>
          <w:p>
            <w:pPr>
              <w:spacing w:after="0" w:before="0" w:lineRule="auto" w:line="276"/>
              <w:jc w:val="left"/>
            </w:pPr>
            <w:r>
              <w:rPr>
                <w:rFonts w:ascii="Times New Roman" w:hAnsi="Times New Roman" w:cs="Times New Roman" w:eastAsia="Times New Roman"/>
                <w:b w:val="false"/>
                <w:sz w:val="26"/>
              </w:rPr>
              <w:t>Thông tư 01/2016/TT-BLĐTBXH</w:t>
            </w:r>
          </w:p>
        </w:tc>
        <w:tc>
          <w:p/>
          <w:p>
            <w:pPr>
              <w:spacing w:after="0" w:before="0" w:lineRule="auto" w:line="276"/>
              <w:jc w:val="left"/>
            </w:pPr>
            <w:r>
              <w:rPr>
                <w:rFonts w:ascii="Times New Roman" w:hAnsi="Times New Roman" w:cs="Times New Roman" w:eastAsia="Times New Roman"/>
                <w:b w:val="false"/>
                <w:sz w:val="26"/>
              </w:rPr>
              <w:t>18-02-2016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58/2014/QH13 -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115/2015/NĐ-CP</w:t>
            </w:r>
          </w:p>
        </w:tc>
        <w:tc>
          <w:p/>
          <w:p>
            <w:pPr>
              <w:spacing w:after="0" w:before="0" w:lineRule="auto" w:line="276"/>
              <w:jc w:val="left"/>
            </w:pPr>
            <w:r>
              <w:rPr>
                <w:rFonts w:ascii="Times New Roman" w:hAnsi="Times New Roman" w:cs="Times New Roman" w:eastAsia="Times New Roman"/>
                <w:b w:val="false"/>
                <w:sz w:val="26"/>
              </w:rPr>
              <w:t>Nghị định 115/2015/NĐ-CP - Quy định chi tiết một số điều của Luật Bảo hiểm xã hội về bảo hiểm xã hội bắt buộc</w:t>
            </w:r>
          </w:p>
        </w:tc>
        <w:tc>
          <w:p/>
          <w:p>
            <w:pPr>
              <w:spacing w:after="0" w:before="0" w:lineRule="auto" w:line="276"/>
              <w:jc w:val="left"/>
            </w:pPr>
            <w:r>
              <w:rPr>
                <w:rFonts w:ascii="Times New Roman" w:hAnsi="Times New Roman" w:cs="Times New Roman" w:eastAsia="Times New Roman"/>
                <w:b w:val="false"/>
                <w:sz w:val="26"/>
              </w:rPr>
              <w:t>11-11-2015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134/2015/NĐ-CP</w:t>
            </w:r>
          </w:p>
        </w:tc>
        <w:tc>
          <w:p/>
          <w:p>
            <w:pPr>
              <w:spacing w:after="0" w:before="0" w:lineRule="auto" w:line="276"/>
              <w:jc w:val="left"/>
            </w:pPr>
            <w:r>
              <w:rPr>
                <w:rFonts w:ascii="Times New Roman" w:hAnsi="Times New Roman" w:cs="Times New Roman" w:eastAsia="Times New Roman"/>
                <w:b w:val="false"/>
                <w:sz w:val="26"/>
              </w:rPr>
              <w:t>Nghị định 134/2015/NĐ-CP - Quy định chi tiết một số điều của luật bảo hiểm xã hội về bảo hiểm xã hội tự nguyện</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38/2013/QH13 -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28/2015/NĐ-CP -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28/2015/TT-BLĐTBXH -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25/2008/QH12 -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r>
        <w:tc>
          <w:p/>
          <w:p>
            <w:pPr>
              <w:spacing w:after="0" w:before="0" w:lineRule="auto" w:line="276"/>
              <w:jc w:val="left"/>
            </w:pPr>
            <w:r>
              <w:rPr>
                <w:rFonts w:ascii="Times New Roman" w:hAnsi="Times New Roman" w:cs="Times New Roman" w:eastAsia="Times New Roman"/>
                <w:b w:val="false"/>
                <w:sz w:val="26"/>
              </w:rPr>
              <w:t>888/QĐ-BHXH</w:t>
            </w:r>
          </w:p>
        </w:tc>
        <w:tc>
          <w:p/>
          <w:p>
            <w:pPr>
              <w:spacing w:after="0" w:before="0" w:lineRule="auto" w:line="276"/>
              <w:jc w:val="left"/>
            </w:pPr>
            <w:r>
              <w:rPr>
                <w:rFonts w:ascii="Times New Roman" w:hAnsi="Times New Roman" w:cs="Times New Roman" w:eastAsia="Times New Roman"/>
                <w:b w:val="false"/>
                <w:sz w:val="26"/>
              </w:rPr>
              <w:t>Sửa đổi, bổ sung một số điều Quy trình thu bảo hiểm xã hội, bảo hiểm y tế, bảo hiểm thất nghiệp, bảo hiệm tai nạn lao động, bệnh nghề nghiệp; quản lý sổ bảo hiểm xã hội, thẻ bảo hiểm y tế ban hành kèm theo Quyết định số 595/QĐ-BHXH ngày 14/04/2017 của Tổng Giám đốc Bảo hiểm Xã hội Việt Nam</w:t>
            </w:r>
          </w:p>
        </w:tc>
        <w:tc>
          <w:p/>
          <w:p>
            <w:pPr>
              <w:spacing w:after="0" w:before="0" w:lineRule="auto" w:line="276"/>
              <w:jc w:val="left"/>
            </w:pPr>
            <w:r>
              <w:rPr>
                <w:rFonts w:ascii="Times New Roman" w:hAnsi="Times New Roman" w:cs="Times New Roman" w:eastAsia="Times New Roman"/>
                <w:b w:val="false"/>
                <w:sz w:val="26"/>
              </w:rPr>
              <w:t>16-07-2018</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838/QĐ-BHXH</w:t>
            </w:r>
          </w:p>
        </w:tc>
        <w:tc>
          <w:p/>
          <w:p>
            <w:pPr>
              <w:spacing w:after="0" w:before="0" w:lineRule="auto" w:line="276"/>
              <w:jc w:val="left"/>
            </w:pPr>
            <w:r>
              <w:rPr>
                <w:rFonts w:ascii="Times New Roman" w:hAnsi="Times New Roman" w:cs="Times New Roman" w:eastAsia="Times New Roman"/>
                <w:b w:val="false"/>
                <w:sz w:val="26"/>
              </w:rPr>
              <w:t>ban hành quy trình giao dịch điện tử trong lĩnh vực bảo hiểm xã hội, bảo hiểm y tế, bảo hiểm thất nghiệp</w:t>
            </w:r>
          </w:p>
        </w:tc>
        <w:tc>
          <w:p/>
          <w:p>
            <w:pPr>
              <w:spacing w:after="0" w:before="0" w:lineRule="auto" w:line="276"/>
              <w:jc w:val="left"/>
            </w:pPr>
            <w:r>
              <w:rPr>
                <w:rFonts w:ascii="Times New Roman" w:hAnsi="Times New Roman" w:cs="Times New Roman" w:eastAsia="Times New Roman"/>
                <w:b w:val="false"/>
                <w:sz w:val="26"/>
              </w:rPr>
              <w:t>29-05-2017</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13-06-2014</w:t>
            </w:r>
          </w:p>
        </w:tc>
        <w:tc>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17-10-2018</w:t>
            </w:r>
          </w:p>
        </w:tc>
        <w:tc>
          <w:p/>
        </w:tc>
      </w:tr>
      <w:tr>
        <w:tc>
          <w:p/>
          <w:p>
            <w:pPr>
              <w:spacing w:after="0" w:before="0" w:lineRule="auto" w:line="276"/>
              <w:jc w:val="left"/>
            </w:pPr>
            <w:r>
              <w:rPr>
                <w:rFonts w:ascii="Times New Roman" w:hAnsi="Times New Roman" w:cs="Times New Roman" w:eastAsia="Times New Roman"/>
                <w:b w:val="false"/>
                <w:sz w:val="26"/>
              </w:rPr>
              <w:t>01/2019/TT-BLĐTBXH</w:t>
            </w:r>
          </w:p>
        </w:tc>
        <w:tc>
          <w:p/>
          <w:p>
            <w:pPr>
              <w:spacing w:after="0" w:before="0" w:lineRule="auto" w:line="276"/>
              <w:jc w:val="left"/>
            </w:pPr>
            <w:r>
              <w:rPr>
                <w:rFonts w:ascii="Times New Roman" w:hAnsi="Times New Roman" w:cs="Times New Roman" w:eastAsia="Times New Roman"/>
                <w:b w:val="false"/>
                <w:sz w:val="26"/>
              </w:rPr>
              <w:t>Thông tư 01/2019/TT-BLĐTBXH</w:t>
            </w:r>
          </w:p>
        </w:tc>
        <w:tc>
          <w:p/>
          <w:p>
            <w:pPr>
              <w:spacing w:after="0" w:before="0" w:lineRule="auto" w:line="276"/>
              <w:jc w:val="left"/>
            </w:pPr>
            <w:r>
              <w:rPr>
                <w:rFonts w:ascii="Times New Roman" w:hAnsi="Times New Roman" w:cs="Times New Roman" w:eastAsia="Times New Roman"/>
                <w:b w:val="false"/>
                <w:sz w:val="26"/>
              </w:rPr>
              <w:t>02-01-2019</w:t>
            </w:r>
          </w:p>
        </w:tc>
        <w:tc>
          <w:p/>
        </w:tc>
      </w:tr>
      <w:tr>
        <w:tc>
          <w:p/>
          <w:p>
            <w:pPr>
              <w:spacing w:after="0" w:before="0" w:lineRule="auto" w:line="276"/>
              <w:jc w:val="left"/>
            </w:pPr>
            <w:r>
              <w:rPr>
                <w:rFonts w:ascii="Times New Roman" w:hAnsi="Times New Roman" w:cs="Times New Roman" w:eastAsia="Times New Roman"/>
                <w:b w:val="false"/>
                <w:sz w:val="26"/>
              </w:rPr>
              <w:t>18/2009/TTLT/BGDĐT-BTC-BLĐTBXH</w:t>
            </w:r>
          </w:p>
        </w:tc>
        <w:tc>
          <w:p/>
          <w:p>
            <w:pPr>
              <w:spacing w:after="0" w:before="0" w:lineRule="auto" w:line="276"/>
              <w:jc w:val="left"/>
            </w:pPr>
            <w:r>
              <w:rPr>
                <w:rFonts w:ascii="Times New Roman" w:hAnsi="Times New Roman" w:cs="Times New Roman" w:eastAsia="Times New Roman"/>
                <w:b w:val="false"/>
                <w:sz w:val="26"/>
              </w:rPr>
              <w:t>Thông tư liên tịch 18/2009/TTLT/BGDĐT-BTC-BLĐTBXH</w:t>
            </w:r>
          </w:p>
        </w:tc>
        <w:tc>
          <w:p/>
          <w:p>
            <w:pPr>
              <w:spacing w:after="0" w:before="0" w:lineRule="auto" w:line="276"/>
              <w:jc w:val="left"/>
            </w:pPr>
            <w:r>
              <w:rPr>
                <w:rFonts w:ascii="Times New Roman" w:hAnsi="Times New Roman" w:cs="Times New Roman" w:eastAsia="Times New Roman"/>
                <w:b w:val="false"/>
                <w:sz w:val="26"/>
              </w:rPr>
              <w:t>03-08-2009</w:t>
            </w:r>
          </w:p>
        </w:tc>
        <w:tc>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17-10-2018</w:t>
            </w:r>
          </w:p>
        </w:tc>
        <w:tc>
          <w:p/>
        </w:tc>
      </w:tr>
      <w:tr>
        <w:tc>
          <w:p/>
          <w:p>
            <w:pPr>
              <w:spacing w:after="0" w:before="0" w:lineRule="auto" w:line="276"/>
              <w:jc w:val="left"/>
            </w:pPr>
            <w:r>
              <w:rPr>
                <w:rFonts w:ascii="Times New Roman" w:hAnsi="Times New Roman" w:cs="Times New Roman" w:eastAsia="Times New Roman"/>
                <w:b w:val="false"/>
                <w:sz w:val="26"/>
              </w:rPr>
              <w:t>13/TT-NV</w:t>
            </w:r>
          </w:p>
        </w:tc>
        <w:tc>
          <w:p/>
          <w:p>
            <w:pPr>
              <w:spacing w:after="0" w:before="0" w:lineRule="auto" w:line="276"/>
              <w:jc w:val="left"/>
            </w:pPr>
            <w:r>
              <w:rPr>
                <w:rFonts w:ascii="Times New Roman" w:hAnsi="Times New Roman" w:cs="Times New Roman" w:eastAsia="Times New Roman"/>
                <w:b w:val="false"/>
                <w:sz w:val="26"/>
              </w:rPr>
              <w:t>BỘ NỘI VỤ SỐ 13/NV NGÀY 4 THÁNG 9 NĂM 1972</w:t>
            </w:r>
          </w:p>
        </w:tc>
        <w:tc>
          <w:p/>
          <w:p>
            <w:pPr>
              <w:spacing w:after="0" w:before="0" w:lineRule="auto" w:line="276"/>
              <w:jc w:val="left"/>
            </w:pPr>
            <w:r>
              <w:rPr>
                <w:rFonts w:ascii="Times New Roman" w:hAnsi="Times New Roman" w:cs="Times New Roman" w:eastAsia="Times New Roman"/>
                <w:b w:val="false"/>
                <w:sz w:val="26"/>
              </w:rPr>
              <w:t>04-09-1972</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250/QĐ - TTg</w:t>
            </w:r>
          </w:p>
        </w:tc>
        <w:tc>
          <w:p/>
          <w:p>
            <w:pPr>
              <w:spacing w:after="0" w:before="0" w:lineRule="auto" w:line="276"/>
              <w:jc w:val="left"/>
            </w:pPr>
            <w:r>
              <w:rPr>
                <w:rFonts w:ascii="Times New Roman" w:hAnsi="Times New Roman" w:cs="Times New Roman" w:eastAsia="Times New Roman"/>
                <w:b w:val="false"/>
                <w:sz w:val="26"/>
              </w:rPr>
              <w:t>Quyết định số 250/QĐ-TTg Giải quyết chế độ, chính sách</w:t>
            </w:r>
          </w:p>
        </w:tc>
        <w:tc>
          <w:p/>
          <w:p>
            <w:pPr>
              <w:spacing w:after="0" w:before="0" w:lineRule="auto" w:line="276"/>
              <w:jc w:val="left"/>
            </w:pPr>
            <w:r>
              <w:rPr>
                <w:rFonts w:ascii="Times New Roman" w:hAnsi="Times New Roman" w:cs="Times New Roman" w:eastAsia="Times New Roman"/>
                <w:b w:val="false"/>
                <w:sz w:val="26"/>
              </w:rPr>
              <w:t>29-01-2013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4533/BHXH-CSXH</w:t>
            </w:r>
          </w:p>
        </w:tc>
        <w:tc>
          <w:p/>
          <w:p>
            <w:pPr>
              <w:spacing w:after="0" w:before="0" w:lineRule="auto" w:line="276"/>
              <w:jc w:val="left"/>
            </w:pPr>
            <w:r>
              <w:rPr>
                <w:rFonts w:ascii="Times New Roman" w:hAnsi="Times New Roman" w:cs="Times New Roman" w:eastAsia="Times New Roman"/>
                <w:b w:val="false"/>
                <w:sz w:val="26"/>
              </w:rPr>
              <w:t>4533/BHXH-CSXH Hướng dẫn thực hiện Quyết định số 250/QĐ-TTg của Thủ tướng Chính phủ</w:t>
            </w:r>
          </w:p>
        </w:tc>
        <w:tc>
          <w:p/>
          <w:p>
            <w:pPr>
              <w:spacing w:after="0" w:before="0" w:lineRule="auto" w:line="276"/>
              <w:jc w:val="left"/>
            </w:pPr>
            <w:r>
              <w:rPr>
                <w:rFonts w:ascii="Times New Roman" w:hAnsi="Times New Roman" w:cs="Times New Roman" w:eastAsia="Times New Roman"/>
                <w:b w:val="false"/>
                <w:sz w:val="26"/>
              </w:rPr>
              <w:t>14-11-2013</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490/QĐ-BHXH</w:t>
            </w:r>
          </w:p>
        </w:tc>
        <w:tc>
          <w:p/>
          <w:p>
            <w:pPr>
              <w:spacing w:after="0" w:before="0" w:lineRule="auto" w:line="276"/>
              <w:jc w:val="left"/>
            </w:pPr>
            <w:r>
              <w:rPr>
                <w:rFonts w:ascii="Times New Roman" w:hAnsi="Times New Roman" w:cs="Times New Roman" w:eastAsia="Times New Roman"/>
                <w:b w:val="false"/>
                <w:sz w:val="26"/>
              </w:rPr>
              <w:t>Quyết định số 490/QĐ-BHXH ngày 28 tháng 3 năm 2023 Tổng Giám đốc Bảo hiểm xã hội Việt Nam về sửa đổi, bổ sung một số điều của Quy trình thu bảo hiểm xã hội, bảo hiểm y tế, bảo hiểm thất nghiệp, bảo hiểm tai nạn lao động, bệnh nghề nghiệp; quản lý sổ bảo hiểm xã hội, thẻ bảo hiểm y tế ban hành kèm theo Quyết định số 595/QĐ-BHXH ngày 14 tháng 4 năm 2017 của Tổng Giám đốc Bảo hiểm xã hội Việt Nam và sửa đổi, bổ sung Điều 1 của Quyết định số 505/QĐ-BHXH ngày 27 tháng 3 năm 2020 của Tổng Giám đốc Bảo hiểm xã hội Việt Nam</w:t>
            </w:r>
          </w:p>
        </w:tc>
        <w:tc>
          <w:p/>
          <w:p>
            <w:pPr>
              <w:spacing w:after="0" w:before="0" w:lineRule="auto" w:line="276"/>
              <w:jc w:val="left"/>
            </w:pPr>
            <w:r>
              <w:rPr>
                <w:rFonts w:ascii="Times New Roman" w:hAnsi="Times New Roman" w:cs="Times New Roman" w:eastAsia="Times New Roman"/>
                <w:b w:val="false"/>
                <w:sz w:val="26"/>
              </w:rPr>
              <w:t>28-03-2023</w:t>
            </w:r>
          </w:p>
        </w:tc>
        <w:tc>
          <w:p/>
          <w:p>
            <w:pPr>
              <w:spacing w:after="0" w:before="0" w:lineRule="auto" w:line="276"/>
              <w:jc w:val="left"/>
            </w:pPr>
            <w:r>
              <w:rPr>
                <w:rFonts w:ascii="Times New Roman" w:hAnsi="Times New Roman" w:cs="Times New Roman" w:eastAsia="Times New Roman"/>
                <w:b w:val="false"/>
                <w:sz w:val="26"/>
              </w:rPr>
              <w:t>Đơn vị</w:t>
            </w:r>
          </w:p>
        </w:tc>
      </w:tr>
      <w:tr>
        <w:tc>
          <w:p/>
          <w:p>
            <w:pPr>
              <w:spacing w:after="0" w:before="0" w:lineRule="auto" w:line="276"/>
              <w:jc w:val="left"/>
            </w:pPr>
            <w:r>
              <w:rPr>
                <w:rFonts w:ascii="Times New Roman" w:hAnsi="Times New Roman" w:cs="Times New Roman" w:eastAsia="Times New Roman"/>
                <w:b w:val="false"/>
                <w:sz w:val="26"/>
              </w:rPr>
              <w:t>2754/BHXH-CSXH</w:t>
            </w:r>
          </w:p>
        </w:tc>
        <w:tc>
          <w:p/>
          <w:p>
            <w:pPr>
              <w:spacing w:after="0" w:before="0" w:lineRule="auto" w:line="276"/>
              <w:jc w:val="left"/>
            </w:pPr>
            <w:r>
              <w:rPr>
                <w:rFonts w:ascii="Times New Roman" w:hAnsi="Times New Roman" w:cs="Times New Roman" w:eastAsia="Times New Roman"/>
                <w:b w:val="false"/>
                <w:sz w:val="26"/>
              </w:rPr>
              <w:t>Cấp thẻ BHYT đối với người đang hưởng BHXH hằng tháng đề nghị cập nhật thông tin nhân thân theo căn cước công dân</w:t>
            </w:r>
          </w:p>
        </w:tc>
        <w:tc>
          <w:p/>
          <w:p>
            <w:pPr>
              <w:spacing w:after="0" w:before="0" w:lineRule="auto" w:line="276"/>
              <w:jc w:val="left"/>
            </w:pPr>
            <w:r>
              <w:rPr>
                <w:rFonts w:ascii="Times New Roman" w:hAnsi="Times New Roman" w:cs="Times New Roman" w:eastAsia="Times New Roman"/>
                <w:b w:val="false"/>
                <w:sz w:val="26"/>
              </w:rPr>
              <w:t>05-09-2023</w:t>
            </w:r>
          </w:p>
        </w:tc>
        <w:tc>
          <w:p/>
        </w:tc>
      </w:tr>
      <w:tr>
        <w:tc>
          <w:p/>
          <w:p>
            <w:pPr>
              <w:spacing w:after="0" w:before="0" w:lineRule="auto" w:line="276"/>
              <w:jc w:val="left"/>
            </w:pPr>
            <w:r>
              <w:rPr>
                <w:rFonts w:ascii="Times New Roman" w:hAnsi="Times New Roman" w:cs="Times New Roman" w:eastAsia="Times New Roman"/>
                <w:b w:val="false"/>
                <w:sz w:val="26"/>
              </w:rPr>
              <w:t>13-TB/TW</w:t>
            </w:r>
          </w:p>
        </w:tc>
        <w:tc>
          <w:p/>
          <w:p>
            <w:pPr>
              <w:spacing w:after="0" w:before="0" w:lineRule="auto" w:line="276"/>
              <w:jc w:val="left"/>
            </w:pPr>
            <w:r>
              <w:rPr>
                <w:rFonts w:ascii="Times New Roman" w:hAnsi="Times New Roman" w:cs="Times New Roman" w:eastAsia="Times New Roman"/>
                <w:b w:val="false"/>
                <w:sz w:val="26"/>
              </w:rPr>
              <w:t>Kết luật của Ban Bí thư về xác định tuổi của đảng viên</w:t>
            </w:r>
          </w:p>
        </w:tc>
        <w:tc>
          <w:p/>
          <w:p>
            <w:pPr>
              <w:spacing w:after="0" w:before="0" w:lineRule="auto" w:line="276"/>
              <w:jc w:val="left"/>
            </w:pPr>
            <w:r>
              <w:rPr>
                <w:rFonts w:ascii="Times New Roman" w:hAnsi="Times New Roman" w:cs="Times New Roman" w:eastAsia="Times New Roman"/>
                <w:b w:val="false"/>
                <w:sz w:val="26"/>
              </w:rPr>
              <w:t>17-08-2016</w:t>
            </w:r>
          </w:p>
        </w:tc>
        <w:tc>
          <w:p/>
        </w:tc>
      </w:tr>
      <w:tr>
        <w:tc>
          <w:p/>
          <w:p>
            <w:pPr>
              <w:spacing w:after="0" w:before="0" w:lineRule="auto" w:line="276"/>
              <w:jc w:val="left"/>
            </w:pPr>
            <w:r>
              <w:rPr>
                <w:rFonts w:ascii="Times New Roman" w:hAnsi="Times New Roman" w:cs="Times New Roman" w:eastAsia="Times New Roman"/>
                <w:b w:val="false"/>
                <w:sz w:val="26"/>
              </w:rPr>
              <w:t>948/QĐ-BHXH</w:t>
            </w:r>
          </w:p>
        </w:tc>
        <w:tc>
          <w:p/>
          <w:p>
            <w:pPr>
              <w:spacing w:after="0" w:before="0" w:lineRule="auto" w:line="276"/>
              <w:jc w:val="left"/>
            </w:pPr>
            <w:r>
              <w:rPr>
                <w:rFonts w:ascii="Times New Roman" w:hAnsi="Times New Roman" w:cs="Times New Roman" w:eastAsia="Times New Roman"/>
                <w:b w:val="false"/>
                <w:sz w:val="26"/>
              </w:rPr>
              <w:t>Quyết định sửa đổi, bổ sung một số điều quy trình thu BHXH, BHYT, BHTN, BHTNLĐ - BNN; Quản lý sổ BHXH, thẻ BHYT ban hành kèm Quyết định số 595/QĐ-BHXH ngày 14/4/2017 và Quyết định số 490/QĐ-BHXH ngày 28/3/2023 của Tổng Giám đốc BHXH Việt Nam</w:t>
            </w:r>
          </w:p>
        </w:tc>
        <w:tc>
          <w:p/>
          <w:p>
            <w:pPr>
              <w:spacing w:after="0" w:before="0" w:lineRule="auto" w:line="276"/>
              <w:jc w:val="left"/>
            </w:pPr>
            <w:r>
              <w:rPr>
                <w:rFonts w:ascii="Times New Roman" w:hAnsi="Times New Roman" w:cs="Times New Roman" w:eastAsia="Times New Roman"/>
                <w:b w:val="false"/>
                <w:sz w:val="26"/>
              </w:rPr>
              <w:t>05-06-2023</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đổi bảo hiểm y tế, cấp lại thẻ bảo hiểm y tế, cấp lại thẻ bhyt, bảo hiểm xã hội, bảo hiểm y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2026-10-23T03:56:18Z</dcterms:created>
  <dc:creator>Apache POI</dc:creator>
</cp:coreProperties>
</file>