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công ty luật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100% vốn nước ngoài có thể thỏa thuận hợp nhất thành một công ty luật trách nhiệm hữu hạn 100% vốn nước ngoài mới.</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dưới hình thức liên doanh có thể thỏa thuận hợp nhất thành một công ty luật trách nhiệm hữu hạn dưới hình thức liên doanh mới.</w:t>
      </w:r>
    </w:p>
    <w:p>
      <w:pPr>
        <w:spacing w:after="0" w:before="0" w:lineRule="auto" w:line="276"/>
        <w:jc w:val="both"/>
      </w:pPr>
      <w:r>
        <w:rPr>
          <w:rFonts w:ascii="Times New Roman" w:hAnsi="Times New Roman" w:cs="Times New Roman" w:eastAsia="Times New Roman"/>
          <w:b w:val="false"/>
          <w:sz w:val="26"/>
        </w:rPr>
        <w:t>Hai hoặc nhiều công ty luật có thể thỏa thuận hợp nhất thành một công ty luật lập 01 bộ hồ sơ hợp nhất công ty luật gửi trực tiếp hoặc qua dịch vụ bưu chính đến Cục Bổ trợ tư pháp, Bộ Tư pháp.</w:t>
      </w:r>
    </w:p>
    <w:p>
      <w:pPr>
        <w:spacing w:after="0" w:before="0" w:lineRule="auto" w:line="276"/>
        <w:jc w:val="both"/>
      </w:pPr>
      <w:r>
        <w:rPr>
          <w:rFonts w:ascii="Times New Roman" w:hAnsi="Times New Roman" w:cs="Times New Roman" w:eastAsia="Times New Roman"/>
          <w:b w:val="false"/>
          <w:sz w:val="26"/>
        </w:rPr>
        <w:t>Hai hoặc nhiều công ty luật có thể thỏa thuận hợp nhất thành một công ty luật lập 01 bộ hồ sơ hợp nhất công ty luật gửi trực tiếp hoặc qua dịch vụ bưu chính đến Cục Bổ trợ tư pháp, Bộ Tư pháp.</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hồ sơ hợp lệ, Cục trưởng Cục Bổ trợ tư pháp, Bộ Tư pháp quyết định chấp thuận việc hợp nhất, cấp Giấy phép thành lập công ty luật nước ngoài hợp nhất;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hợp nhất công ty luật</w:t>
            </w:r>
          </w:p>
        </w:tc>
        <w:tc>
          <w:p/>
          <w:p>
            <w:pPr>
              <w:spacing w:after="0" w:before="0" w:lineRule="auto" w:line="276"/>
              <w:jc w:val="left"/>
            </w:pPr>
            <w:r>
              <w:rPr>
                <w:rFonts w:ascii="Times New Roman" w:hAnsi="Times New Roman" w:cs="Times New Roman" w:eastAsia="Times New Roman"/>
                <w:b w:val="false"/>
                <w:sz w:val="26"/>
              </w:rPr>
              <w:t>Maus12-PLIII-LS.docx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Hợp đồng hợp nhất, trong đó phải quy định rõ về thủ tục, thời hạn và điều kiện hợp nhất; phương án sử dụng lao động; việc kế thừa toàn bộ quyền, nghĩa vụ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thành lập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công ty luật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Bổ trợ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công ty luật nước ngoài hợp nhất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2026-08-01T18:33:21Z</dcterms:created>
  <dc:creator>Apache POI</dc:creator>
</cp:coreProperties>
</file>