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với người tham gia BHYT lần đầu ghi Tờ khai tham gia, điều chỉnh thông tin BHYT (do Bảo hiểm xã hội Việt Nam ban hành) và Mẫu số 2 hoặc Mẫu số 3 ban hành kèm theo Nghị định số 146/2018/NĐ-CP ngày 17/10/2018 cho các nhóm đối tượng sau:</w:t>
      </w:r>
    </w:p>
    <w:p>
      <w:pPr>
        <w:spacing w:after="0" w:before="0" w:lineRule="auto" w:line="276"/>
        <w:jc w:val="both"/>
      </w:pPr>
      <w:r>
        <w:rPr>
          <w:rFonts w:ascii="Times New Roman" w:hAnsi="Times New Roman" w:cs="Times New Roman" w:eastAsia="Times New Roman"/>
          <w:b w:val="false"/>
          <w:sz w:val="26"/>
        </w:rPr>
        <w:t>1. Người sử dụng lao động lập danh sách tham gia BHYT cho người lao động quy định tại Điều 1 Nghị định số 146/2018/NĐ-CP ngày 17/10/2018;</w:t>
      </w:r>
    </w:p>
    <w:p>
      <w:pPr>
        <w:spacing w:after="0" w:before="0" w:lineRule="auto" w:line="276"/>
        <w:jc w:val="both"/>
      </w:pPr>
      <w:r>
        <w:rPr>
          <w:rFonts w:ascii="Times New Roman" w:hAnsi="Times New Roman" w:cs="Times New Roman" w:eastAsia="Times New Roman"/>
          <w:b w:val="false"/>
          <w:sz w:val="26"/>
        </w:rPr>
        <w:t>2. Cơ sở giáo dục, cơ sở giáo dục nghề nghiệp có trách nhiệm lập danh sách tham gia BHYT của các đối tượng thuộc phạm vi quản lý theo quy định tại khoản 15 Điều 3, khoản 3 Điều 4 Nghị định số 146/2018/NĐ-CP ngày 17/10/2018;</w:t>
      </w:r>
    </w:p>
    <w:p>
      <w:pPr>
        <w:spacing w:after="0" w:before="0" w:lineRule="auto" w:line="276"/>
        <w:jc w:val="both"/>
      </w:pPr>
      <w:r>
        <w:rPr>
          <w:rFonts w:ascii="Times New Roman" w:hAnsi="Times New Roman" w:cs="Times New Roman" w:eastAsia="Times New Roman"/>
          <w:b w:val="false"/>
          <w:sz w:val="26"/>
        </w:rPr>
        <w:t xml:space="preserve"> 3. Các đơn vị thuộc Bộ Quốc phòng, Bộ Công an có trách nhiệm lập danh sách tham gia BHYT của các đối tượng thuộc phạm vi quản lý quy định tại khoản 1 Điều 1; khoản 13 Điều 3 và Điều 6 Nghị định số 146/2018/NĐ-CP ngày 17/10/2018 và theo hướng dẫn của Bộ Quốc phòng, Bộ Công an;</w:t>
      </w:r>
    </w:p>
    <w:p>
      <w:pPr>
        <w:spacing w:after="0" w:before="0" w:lineRule="auto" w:line="276"/>
        <w:jc w:val="both"/>
      </w:pPr>
      <w:r>
        <w:rPr>
          <w:rFonts w:ascii="Times New Roman" w:hAnsi="Times New Roman" w:cs="Times New Roman" w:eastAsia="Times New Roman"/>
          <w:b w:val="false"/>
          <w:sz w:val="26"/>
        </w:rPr>
        <w:t xml:space="preserve"> 4. Đối với người đã hiến bộ phận cơ thể theo quy định của pháp luật, cơ quan BHXH căn cứ giấy ra viện do cơ sở KCB nơi người hiến bộ phận cơ thể cấp cho đối tượng này để cấp thẻ BHYT.</w:t>
      </w:r>
    </w:p>
    <w:p>
      <w:pPr>
        <w:spacing w:after="0" w:before="0" w:lineRule="auto" w:line="276"/>
        <w:jc w:val="both"/>
      </w:pPr>
      <w:r>
        <w:rPr>
          <w:rFonts w:ascii="Times New Roman" w:hAnsi="Times New Roman" w:cs="Times New Roman" w:eastAsia="Times New Roman"/>
          <w:b w:val="false"/>
          <w:sz w:val="26"/>
        </w:rPr>
        <w:t xml:space="preserve">  5. Ủy ban nhân dân xã có trách nhiệm lập danh sách đối tượng quy định tại Điều 2; các khoản 1, 2, 3, 4, 5, 6, 7, 8, 9, 10, 11, 12, 16, 17 Điều 3; các khoản 1, 2, 4 Điều 4 và Điều 5 Nghị định số 146/2018/NĐ-CP ngày 17/10/2018.</w:t>
      </w:r>
    </w:p>
    <w:p>
      <w:pPr>
        <w:spacing w:after="0" w:before="0" w:lineRule="auto" w:line="276"/>
        <w:jc w:val="both"/>
      </w:pPr>
      <w:r>
        <w:rPr>
          <w:rFonts w:ascii="Times New Roman" w:hAnsi="Times New Roman" w:cs="Times New Roman" w:eastAsia="Times New Roman"/>
          <w:b w:val="false"/>
          <w:sz w:val="26"/>
        </w:rPr>
        <w:t>Bước 2:
Cán bộ bộ phận một cửa cơ quan BHXH tỉnh, huyện kiểm tra, nhận Tờ khai tham gia, điều chỉnh thông tin BHYT.., Giấy tiếp nhận hồ sơ và hẹn trả kết quả cấp thẻ BHYT theo Mẫu số 4 Phụ lục ban hành kèm theo Nghị định số 146/2018/NĐ-CP ngày 17/10/2018 và ký nhận (vào ô người tiếp nhận hồ sơ).</w:t>
      </w:r>
    </w:p>
    <w:p>
      <w:pPr>
        <w:spacing w:after="0" w:before="0" w:lineRule="auto" w:line="276"/>
        <w:jc w:val="both"/>
      </w:pPr>
      <w:r>
        <w:rPr>
          <w:rFonts w:ascii="Times New Roman" w:hAnsi="Times New Roman" w:cs="Times New Roman" w:eastAsia="Times New Roman"/>
          <w:b w:val="false"/>
          <w:sz w:val="26"/>
        </w:rPr>
        <w:t xml:space="preserve">Trong thời hạn 10 ngày làm việc, kể từ ngày nhận đủ hồ sơ, tổ chức BHYT phải chuyển thẻ BHYT cho cơ quan, tổ chức quản lý đối tượng hoặc cho người tham gia BHYT.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 của tổ chức, cá nhân đối với người tham gia BHYT và Danh sách đối tượng tham gia BHYT của tổ chức, cá nhân lập theo Mẫu số 2 Phụ lục ban hành kèm theo Nghị định số 146/2018/NĐ-CP ngày 17/10/2018.</w:t>
            </w:r>
          </w:p>
        </w:tc>
        <w:tc>
          <w:p/>
          <w:p>
            <w:pPr>
              <w:spacing w:after="0" w:before="0" w:lineRule="auto" w:line="276"/>
              <w:jc w:val="left"/>
            </w:pPr>
            <w:r>
              <w:rPr>
                <w:rFonts w:ascii="Times New Roman" w:hAnsi="Times New Roman" w:cs="Times New Roman" w:eastAsia="Times New Roman"/>
                <w:b w:val="false"/>
                <w:sz w:val="26"/>
              </w:rPr>
              <w:t>Mẫu số 2.docx</w:t>
            </w:r>
          </w:p>
          <w:p>
            <w:pPr>
              <w:spacing w:after="0" w:before="0" w:lineRule="auto" w:line="276"/>
              <w:jc w:val="left"/>
            </w:pPr>
            <w:r>
              <w:rPr>
                <w:rFonts w:ascii="Times New Roman" w:hAnsi="Times New Roman" w:cs="Times New Roman" w:eastAsia="Times New Roman"/>
                <w:b w:val="false"/>
                <w:sz w:val="26"/>
              </w:rPr>
              <w:t>Mẫu số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 của người tham gia BHYT theo hộ gia đình và Danh sách thành viên hộ gia đình tham gia BHYT lập theo Mẫu số 3 Phụ lục ban hành kèm theo Nghị định số 146/2018/NĐ-CP ngày 17/10/2018.</w:t>
            </w:r>
          </w:p>
        </w:tc>
        <w:tc>
          <w:p/>
          <w:p>
            <w:pPr>
              <w:spacing w:after="0" w:before="0" w:lineRule="auto" w:line="276"/>
              <w:jc w:val="left"/>
            </w:pPr>
            <w:r>
              <w:rPr>
                <w:rFonts w:ascii="Times New Roman" w:hAnsi="Times New Roman" w:cs="Times New Roman" w:eastAsia="Times New Roman"/>
                <w:b w:val="false"/>
                <w:sz w:val="26"/>
              </w:rPr>
              <w:t>Mẫu số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Thẻ BHYT được cấp cho người tham gia BHYT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2026-08-01T19:12:52Z</dcterms:created>
  <dc:creator>Apache POI</dc:creator>
</cp:coreProperties>
</file>