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hợp đồng thế chấp bất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Công chứng viên tiếp nhận hồ sơ và kiểm tra giấy tờ trong hồ sơ yêu cầu công chứng. 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Công chứng viên hướng dẫn người yêu cầu công chứng tuân thủ đúng các quy định về thủ tục công chứng và các quy định pháp luật có liên quan đến việc thực hiện hợp đồng; giải thích cho người yêu cầu công chứng hiểu rõ quyền, nghĩa vụ và lợi ích hợp pháp của họ, ý nghĩa và hậu quả pháp lý của việc tham gia hợp đồng;</w:t>
      </w:r>
    </w:p>
    <w:p>
      <w:pPr>
        <w:spacing w:after="0" w:before="0" w:lineRule="auto" w:line="276"/>
        <w:jc w:val="both"/>
      </w:pPr>
      <w:r>
        <w:rPr>
          <w:rFonts w:ascii="Times New Roman" w:hAnsi="Times New Roman" w:cs="Times New Roman" w:eastAsia="Times New Roman"/>
          <w:b w:val="false"/>
          <w:sz w:val="26"/>
        </w:rPr>
        <w:t>Trong trường hợp có căn cứ cho rằng trong hồ sơ yêu cầu công chứng có vấn đề chưa rõ, việc giao kết hợp đồng có dấu hiệu bị đe doạ, cưỡng ép, có sự nghi ngờ về năng lực hành vi dân sự của người yêu cầu công chứng hoặc đối tượng của hợp đồng, giao dịch chưa được mô tả cụ thể thì công chứng viên đề nghị người yêu cầu công chứng làm rõ hoặc theo đề nghị của người yêu cầu công chứng, công chứng viên tiến hành xác minh hoặc yêu cầu giám định; trường hợp không làm rõ được thì có quyền từ chối công chứng;</w:t>
      </w:r>
    </w:p>
    <w:p>
      <w:pPr>
        <w:spacing w:after="0" w:before="0" w:lineRule="auto" w:line="276"/>
        <w:jc w:val="both"/>
      </w:pPr>
      <w:r>
        <w:rPr>
          <w:rFonts w:ascii="Times New Roman" w:hAnsi="Times New Roman" w:cs="Times New Roman" w:eastAsia="Times New Roman"/>
          <w:b w:val="false"/>
          <w:sz w:val="26"/>
        </w:rPr>
        <w:t>Trường hợp nội dung, ý định giao kết hợp đồng là xác thực, không vi phạm pháp luật, không trái đạo đức xã hội thì công chứng viên soạn thảo hợp đồng;</w:t>
      </w:r>
    </w:p>
    <w:p>
      <w:pPr>
        <w:spacing w:after="0" w:before="0" w:lineRule="auto" w:line="276"/>
        <w:jc w:val="both"/>
      </w:pPr>
      <w:r>
        <w:rPr>
          <w:rFonts w:ascii="Times New Roman" w:hAnsi="Times New Roman" w:cs="Times New Roman" w:eastAsia="Times New Roman"/>
          <w:b w:val="false"/>
          <w:sz w:val="26"/>
        </w:rPr>
        <w:t>Trường hợp hợp đồng được soạn thảo sẵn, công chứng viên kiểm tra dự thảo hợp đồng; nếu trong dự thảo hợp đồng có điều khoản vi phạm pháp luật, trái đạo đức xã hội, đối tượng của hợp đồng không phù hợp với thực tế thì công chứng viên phải chỉ rõ cho người yêu cầu công chứng để sửa chữa. Trường hợp người yêu cầu công chứng không sửa chữa thì công chứng viên có quyền từ chối công chứng;</w:t>
      </w:r>
    </w:p>
    <w:p>
      <w:pPr>
        <w:spacing w:after="0" w:before="0" w:lineRule="auto" w:line="276"/>
        <w:jc w:val="both"/>
      </w:pPr>
      <w:r>
        <w:rPr>
          <w:rFonts w:ascii="Times New Roman" w:hAnsi="Times New Roman" w:cs="Times New Roman" w:eastAsia="Times New Roman"/>
          <w:b w:val="false"/>
          <w:sz w:val="26"/>
        </w:rPr>
        <w:t>Người yêu cầu công chứng tự đọc lại dự thảo hợp đồng hoặc công chứng viên đọc cho người yêu cầu công chứng nghe theo đề nghị của người yêu cầu công chứng. Trường hợp người yêu cầu công chứng đồng ý toàn bộ nội dung trong dự thảo hợp đồng thì ký vào từng trang của hợp đồng. Công chứng viên  yêu cầu người yêu cầu công chứng xuất trình bản chính của các giấy tờ để đối chiếu trước khi ghi lời chứng, ký vào từng trang của hợp đồng.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Thông tư số 257/2016/TT-BTC, cụ thể như sau: Mức phí công chứng hợp đồng thế chấp tài sản (tính trên giá trị tài sản; trường hợp trong hợp đồng thế chấp tài sản có ghi giá trị khoản vay thì tính trên giá trị khoản vay): TT	Giá trị tài sản hoặc giá trị hợp đồng, giao dịch	Mức thu (đồng/trường hợp) 1	Dưới 50 triệu đồng	50 nghìn 2	Từ 50 triệu đồng đến 100 triệu đồng	100 nghìn 3	Từ trên 100 triệu đồng đến 01 tỷ đồng	0,1% giá trị tài sản hoặc giá trị hợp đồng, giao dịch 4	Từ trên 01 tỷ đồng đến 03 tỷ đồng	01 triệu đồng + 0,06% của phần giá trị tài sản hoặc giá trị hợp đồng, giao dịch vượt quá 01 tỷ đồng 5	Từ trên 03 tỷ đồng đến 05 tỷ đồng	2,2 triệu đồng + 0,05% của phần giá trị tài sản hoặc giá trị hợp đồng, giao dịch vượt quá 03 tỷ đồng 6	Từ trên 05 tỷ đồng đến 10 tỷ đồng	3,2 triệu đồng + 0,04% của phần giá trị tài sản hoặc giá trị hợp đồng, giao dịch vượt quá 05 tỷ đồng 7	Từ trên 10 tỷ đồng đến 100 tỷ đồng	5,2 triệu đồng + 0,03% của phần giá trị tài sản hoặc giá trị hợp đồng, giao dịch vượt quá 10 tỷ đồng. 8	Trên 100 tỷ đồng	32,2 triệu đồng + 0,02% của phần giá trị tài sản hoặc giá trị hợp đồng, giao dịch vượt quá 100 tỷ đồng (mức thu tối đa là 70 triệu đồng/trường hợp).)</w:t>
              <w:br/>
              <w:t>File đính kèm: VanBanGoc_257-2016-TT-BTC.pdf</w:t>
            </w:r>
          </w:p>
        </w:tc>
        <w:tc>
          <w:p/>
          <w:p>
            <w:pPr>
              <w:spacing w:after="0" w:before="0" w:lineRule="auto" w:line="276"/>
              <w:jc w:val="left"/>
            </w:pPr>
            <w:r>
              <w:rPr>
                <w:rFonts w:ascii="Times New Roman" w:hAnsi="Times New Roman" w:cs="Times New Roman" w:eastAsia="Times New Roman"/>
                <w:b w:val="false"/>
                <w:sz w:val="26"/>
              </w:rPr>
              <w:t>Thời hạn công chứng không quá 02 ngày làm việc; đối với hợp đồng, giao dịch có nội dung phức tạp thì thời hạn công chứng có thể kéo dài hơn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tùy thân của người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hợp đồng thế chấp bất động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hợp đồng, giao dịch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2026-06-25T05:29:38Z</dcterms:created>
  <dc:creator>Apache POI</dc:creator>
</cp:coreProperties>
</file>