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2.001058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2306/QĐ-BYT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Đổi thẻ bảo hiểm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Thẻ BHYT được đổi trong trường hợp sau đây:
- Rách, nát hoặc hỏng;
- Thay đổi nơi đăng ký KCB ban đầu;
- Thông tin ghi trong thẻ không đúng.</w:t>
      </w:r>
    </w:p>
    <w:p>
      <w:pPr>
        <w:spacing w:after="0" w:before="0" w:lineRule="auto" w:line="276"/>
        <w:jc w:val="both"/>
      </w:pPr>
      <w:r>
        <w:rPr>
          <w:rFonts w:ascii="Times New Roman" w:hAnsi="Times New Roman" w:cs="Times New Roman" w:eastAsia="Times New Roman"/>
          <w:b w:val="false"/>
          <w:sz w:val="26"/>
        </w:rPr>
        <w:t>Bước 2: Người tham gia BHYT cần đổi thẻ BHYT đến cơ quan BHXH tỉnh, huyện; ghi Tờ khai tham gia, điều chỉnh thông tin BHYT… và Giấy tiếp nhận hồ sơ và hẹn trả kết quả đổi thẻ BHYT theo Mẫu số 4 Phụ lục ban hành kèm theo Nghị định 146/2018/NĐ-CP ngày 17/10/2018, gửi bộ phận một cửa cơ quan BHXH tỉnh, huyện.</w:t>
      </w:r>
    </w:p>
    <w:p>
      <w:pPr>
        <w:spacing w:after="0" w:before="0" w:lineRule="auto" w:line="276"/>
        <w:jc w:val="both"/>
      </w:pPr>
      <w:r>
        <w:rPr>
          <w:rFonts w:ascii="Times New Roman" w:hAnsi="Times New Roman" w:cs="Times New Roman" w:eastAsia="Times New Roman"/>
          <w:b w:val="false"/>
          <w:sz w:val="26"/>
        </w:rPr>
        <w:t>Bước 3: Cơ quan BHXH
- Cán bộ bộ phận một cửa cơ quan BHXH tỉnh, huyện kiểm tra, nhận Tờ khai tham gia, điều chỉnh thông tin BHYT,  Giấy tiếp nhận hồ sơ và hẹn trả kết quả đổi thẻ BHYT và ký nhận (vào ô người tiếp nhận hồ sơ).
- Trong thời hạn 7 ngày làm việc, kể từ ngày nhận đủ hồ sơ. Tổ chức BHYT phải đổi thẻ BHYT cho người tham gia BHYT.
- Trong thời gian chờ đổi thẻ, người tham gia BHYT vẫn được hưởng quyền lợi BHYT.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7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7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tiếp nhận hồ sơ và hẹn trả kết quả đổi thẻ BHYT theo Mẫu số 4 Phụ lục ban hành kèm theo Nghị định 146/2018/NĐ-CP ngày 17/10/2018.</w:t>
            </w:r>
          </w:p>
        </w:tc>
        <w:tc>
          <w:p/>
          <w:p>
            <w:pPr>
              <w:spacing w:after="0" w:before="0" w:lineRule="auto" w:line="276"/>
              <w:jc w:val="left"/>
            </w:pPr>
            <w:r>
              <w:rPr>
                <w:rFonts w:ascii="Times New Roman" w:hAnsi="Times New Roman" w:cs="Times New Roman" w:eastAsia="Times New Roman"/>
                <w:b w:val="false"/>
                <w:sz w:val="26"/>
              </w:rPr>
              <w:t>Mẫu số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Thẻ BHYT (Rách, nát hoặc hỏng; Thay đổi nơi đăng ký KCB ban đầu; Thông tin ghi trong thẻ không đúng)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146/2018/NĐ-CP</w:t>
            </w:r>
          </w:p>
        </w:tc>
        <w:tc>
          <w:p/>
          <w:p>
            <w:pPr>
              <w:spacing w:after="0" w:before="0" w:lineRule="auto" w:line="276"/>
              <w:jc w:val="left"/>
            </w:pPr>
            <w:r>
              <w:rPr>
                <w:rFonts w:ascii="Times New Roman" w:hAnsi="Times New Roman" w:cs="Times New Roman" w:eastAsia="Times New Roman"/>
                <w:b w:val="false"/>
                <w:sz w:val="26"/>
              </w:rPr>
              <w:t>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tổ chức, cá nhân, thành viên hộ gia đình tham gia BHYT Tờ khai tham gia, điều chỉnh thông tin BHYT, Giấy tiếp nhận hồ sơ và hẹn trả kết quả đổi thẻ BHYT theo Mẫu số 4 ban hành kèm theo Nghị định số 146/2018/NĐ-CP ngày 17/10/2018.
- Yêu cầu đối với cơ quan Bảo hiểm xã hội
Đổi thẻ BHYT cho tổ chức, cá nhân, thành viên hộ gia đình theo Tờ khai tham gia, điều chỉnh thông tin BHYT, Giấy tiếp nhận hồ sơ và hẹn trả kết quả đổi thẻ BHYT theo Mẫu số 4 ban hành kèm theo Nghị định số 146/2018/NĐ-CP ngày 17/10/2018.</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2026-10-23T04:55:36Z</dcterms:created>
  <dc:creator>Apache POI</dc:creator>
</cp:coreProperties>
</file>