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2.002621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296/QĐ-VPCP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khai sinh, đăng ký thường trú, cấp thẻ bảo hiểm y tế cho trẻ em dưới 6 tuổi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 - Đăng ký thường trú - Quản lý thu, Sổ - thẻ</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Bước 1</w:t>
      </w:r>
    </w:p>
    <w:p>
      <w:pPr>
        <w:spacing w:after="0" w:before="0" w:lineRule="auto" w:line="276"/>
        <w:jc w:val="both"/>
      </w:pPr>
      <w:r>
        <w:rPr>
          <w:rFonts w:ascii="Times New Roman" w:hAnsi="Times New Roman" w:cs="Times New Roman" w:eastAsia="Times New Roman"/>
          <w:b w:val="false"/>
          <w:sz w:val="26"/>
        </w:rPr>
        <w:t>Người yêu cầu truy cập vào Cổng Dịch vụ công quốc gia (tại địa chỉ dichvucong.gov.vn) hoặc trên ứng dụng VNeID, lựa chọn mục “Dịch vụ công liên thông khai sinh, khai tử” để thực hiện nộp hồ sơ trực tuyến và lệ phí theo quy định.</w:t>
      </w:r>
    </w:p>
    <w:p>
      <w:pPr>
        <w:shd w:val="clear" w:color="auto" w:fill="F2F6F9"/>
        <w:spacing w:after="0" w:before="120" w:lineRule="auto" w:line="276"/>
        <w:jc w:val="both"/>
      </w:pPr>
      <w:r>
        <w:rPr>
          <w:rFonts w:ascii="Times New Roman" w:hAnsi="Times New Roman" w:cs="Times New Roman" w:eastAsia="Times New Roman"/>
          <w:b w:val="true"/>
          <w:sz w:val="26"/>
        </w:rPr>
        <w:t>Bước 2</w:t>
      </w:r>
    </w:p>
    <w:p>
      <w:pPr>
        <w:spacing w:after="0" w:before="0" w:lineRule="auto" w:line="276"/>
        <w:jc w:val="both"/>
      </w:pPr>
      <w:r>
        <w:rPr>
          <w:rFonts w:ascii="Times New Roman" w:hAnsi="Times New Roman" w:cs="Times New Roman" w:eastAsia="Times New Roman"/>
          <w:b w:val="false"/>
          <w:sz w:val="26"/>
        </w:rPr>
        <w:t>Hệ thống thông tin giải quyết thủ tục hành chính cấp tỉnh tiếp nhận hồ sơ đăng ký khai sinh từ Phần mềm dịch vụ công liên thông; thông báo hẹn trả kết quả được Phần mềm dịch vụ công liên thông gửi cho người yêu cầu qua Cổng Dịch vụ công quốc gia, ứng dụng VNeID và tin nhắn SMS.</w:t>
      </w:r>
    </w:p>
    <w:p>
      <w:pPr>
        <w:shd w:val="clear" w:color="auto" w:fill="F2F6F9"/>
        <w:spacing w:after="0" w:before="120" w:lineRule="auto" w:line="276"/>
        <w:jc w:val="both"/>
      </w:pPr>
      <w:r>
        <w:rPr>
          <w:rFonts w:ascii="Times New Roman" w:hAnsi="Times New Roman" w:cs="Times New Roman" w:eastAsia="Times New Roman"/>
          <w:b w:val="true"/>
          <w:sz w:val="26"/>
        </w:rPr>
        <w:t>Bước 3. Giải quyết hồ sơ đăng ký khai sinh</w:t>
      </w:r>
    </w:p>
    <w:p>
      <w:pPr>
        <w:spacing w:after="0" w:before="0" w:lineRule="auto" w:line="276"/>
        <w:jc w:val="both"/>
      </w:pPr>
      <w:r>
        <w:rPr>
          <w:rFonts w:ascii="Times New Roman" w:hAnsi="Times New Roman" w:cs="Times New Roman" w:eastAsia="Times New Roman"/>
          <w:b w:val="false"/>
          <w:sz w:val="26"/>
        </w:rPr>
        <w:t>Sau khi hồ sơ đăng ký khai sinh điện tử được Hệ thống thông tin giải quyết thủ tục hành chính cấp tỉnh chuyển tới Phần mềm đăng ký, quản lý hộ tịch điện tử dùng chung của Bộ Tư pháp, công chức làm công tác hộ tịch thực hiện nghiệp vụ đăng ký khai sinh ngay trong ngày làm việc trên Phần mềm đăng ký, quản lý hộ tịch điện tử dùng chung của Bộ Tư pháp.</w:t>
      </w:r>
    </w:p>
    <w:p>
      <w:pPr>
        <w:shd w:val="clear" w:color="auto" w:fill="F2F6F9"/>
        <w:spacing w:after="0" w:before="120" w:lineRule="auto" w:line="276"/>
        <w:jc w:val="both"/>
      </w:pPr>
      <w:r>
        <w:rPr>
          <w:rFonts w:ascii="Times New Roman" w:hAnsi="Times New Roman" w:cs="Times New Roman" w:eastAsia="Times New Roman"/>
          <w:b w:val="true"/>
          <w:sz w:val="26"/>
        </w:rPr>
        <w:t>Bước 4. Giải quyết hồ sơ đăng ký thường trú và cấp thẻ bảo hiểm y tế cho trẻ em dưới 6 tuổi</w:t>
      </w:r>
    </w:p>
    <w:p>
      <w:pPr>
        <w:spacing w:after="0" w:before="0" w:lineRule="auto" w:line="276"/>
        <w:jc w:val="both"/>
      </w:pPr>
      <w:r>
        <w:rPr>
          <w:rFonts w:ascii="Times New Roman" w:hAnsi="Times New Roman" w:cs="Times New Roman" w:eastAsia="Times New Roman"/>
          <w:b w:val="false"/>
          <w:sz w:val="26"/>
        </w:rPr>
        <w:t>Sau khi Phần mềm đăng ký, quản lý hộ tịch điện tử dùng chung của Bộ Tư pháp chuyển bản điện tử Giấy khai sinh sang Phần mềm dịch vụ công liên thông thông qua Hệ thống thông tin giải quyết thủ tục hành chính cấp tỉnh, Phần mềm dịch vụ công liên thông phân tách, chuyển hồ sơ điện tử (bao gồm biểu mẫu, tờ khai người yêu cầu đã kê khai, bản điện tử Giấy khai sinh) đến Hệ thống thông tin quản lý cư trú để thực hiện đăng ký thường trú và Hệ thống thông tin ngành Bảo hiểm xã hội để thực hiện cấp thẻ bảo hiểm y tế cho trẻ em dưới 6 tuổi theo quy định pháp luật liên quan.</w:t>
      </w:r>
    </w:p>
    <w:p>
      <w:pPr>
        <w:spacing w:after="0" w:before="0" w:lineRule="auto" w:line="276"/>
        <w:jc w:val="both"/>
      </w:pPr>
      <w:r>
        <w:rPr>
          <w:rFonts w:ascii="Times New Roman" w:hAnsi="Times New Roman" w:cs="Times New Roman" w:eastAsia="Times New Roman"/>
          <w:b w:val="false"/>
          <w:sz w:val="26"/>
        </w:rPr>
        <w:t>Thời gian giải quyết đăng ký thường trú không quá hai (02) ngày làm việc, trường hợp phải xác minh thì thời hạn giải quyết không quá năm (05) ngày làm việc kể từ ngày nhận được hồ sơ điện tử, thông tin xác nhận qua ứng dụng VNeID.</w:t>
      </w:r>
    </w:p>
    <w:p>
      <w:pPr>
        <w:spacing w:after="0" w:before="0" w:lineRule="auto" w:line="276"/>
        <w:jc w:val="both"/>
      </w:pPr>
      <w:r>
        <w:rPr>
          <w:rFonts w:ascii="Times New Roman" w:hAnsi="Times New Roman" w:cs="Times New Roman" w:eastAsia="Times New Roman"/>
          <w:b w:val="false"/>
          <w:sz w:val="26"/>
        </w:rPr>
        <w:t>Thời gian giải quyết cấp thẻ bảo hiểm y tế cho trẻ em dưới 6 tuổi không quá hai (02) ngày làm việc.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của Hội đồng nhân dân cấp tỉnh)</w:t>
            </w:r>
          </w:p>
        </w:tc>
        <w:tc>
          <w:p/>
          <w:p>
            <w:pPr>
              <w:spacing w:after="0" w:before="0" w:lineRule="auto" w:line="276"/>
              <w:jc w:val="left"/>
            </w:pPr>
            <w:r>
              <w:rPr>
                <w:rFonts w:ascii="Times New Roman" w:hAnsi="Times New Roman" w:cs="Times New Roman" w:eastAsia="Times New Roman"/>
                <w:b w:val="false"/>
                <w:sz w:val="26"/>
              </w:rPr>
              <w:t>Ba (03) ngày làm việc kể từ khi các cơ quan có thẩm quyền giải quyết nhận đầy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của Hội đồng nhân dân cấp tỉnh)</w:t>
            </w:r>
          </w:p>
        </w:tc>
        <w:tc>
          <w:p/>
          <w:p>
            <w:pPr>
              <w:spacing w:after="0" w:before="0" w:lineRule="auto" w:line="276"/>
              <w:jc w:val="left"/>
            </w:pPr>
            <w:r>
              <w:rPr>
                <w:rFonts w:ascii="Times New Roman" w:hAnsi="Times New Roman" w:cs="Times New Roman" w:eastAsia="Times New Roman"/>
                <w:b w:val="false"/>
                <w:sz w:val="26"/>
              </w:rPr>
              <w:t>Trường hợp phải xác minh thì không quá năm (05) ngày làm việc. Nếu tiếp nhận hồ sơ sau 15 giờ thì thời gian được tính bắt đầu từ ngày làm việc tiếp theo.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thường trú cho trẻ em khác nơi thường trú của cha, mẹ (nếu được cha, mẹ đồng ý) thì đính kèm các thành phần hồ sơ theo quy định pháp luật về cư trú</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Đính kèm các thành phần hồ sơ theo quy định pháp luật về cư trú</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Các thành phần hồ sơ trên là bản giấy thì phải thực hiện số hóa theo quy định tại Nghị định số 107/2021/NĐ-CP của Chính phủ</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điện tử (Mẫu số 01 kèm theo Nghị định)</w:t>
            </w:r>
          </w:p>
        </w:tc>
        <w:tc>
          <w:p/>
          <w:p>
            <w:pPr>
              <w:spacing w:after="0" w:before="0" w:lineRule="auto" w:line="276"/>
              <w:jc w:val="left"/>
            </w:pPr>
            <w:r>
              <w:rPr>
                <w:rFonts w:ascii="Times New Roman" w:hAnsi="Times New Roman" w:cs="Times New Roman" w:eastAsia="Times New Roman"/>
                <w:b w:val="false"/>
                <w:sz w:val="26"/>
              </w:rPr>
              <w:t>To khai DT. Mau so 01 (khai sinh).docx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Dữ liệu điện tử có ký số của Giấy chứng sinh được liên thông từ cơ sở khám bệnh, chữa bệnh với Phần mềm dịch vụ công liên thông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có giấy chứng sinh thì đính kèm các thành phần hồ sơ thay thế theo quy định pháp luật về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Công an Xã, Bảo hiểm xã hội cấp huyện, Ủy ban nhân dân cấp xã, Ủy ban nhân dân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khai sinh, Thẻ bảo hiểm y tế, Thông báo kết quả giải quyết đăng ký thường trú, Bản điện tử Giấy khai sinh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58/2014/QH13 </w:t>
            </w:r>
          </w:p>
        </w:tc>
        <w:tc>
          <w:p/>
          <w:p>
            <w:pPr>
              <w:spacing w:after="0" w:before="0" w:lineRule="auto" w:line="276"/>
              <w:jc w:val="left"/>
            </w:pPr>
            <w:r>
              <w:rPr>
                <w:rFonts w:ascii="Times New Roman" w:hAnsi="Times New Roman" w:cs="Times New Roman" w:eastAsia="Times New Roman"/>
                <w:b w:val="false"/>
                <w:sz w:val="26"/>
              </w:rPr>
              <w:t>Luật Bảo hiểm xã hội</w:t>
            </w:r>
          </w:p>
        </w:tc>
        <w:tc>
          <w:p/>
          <w:p>
            <w:pPr>
              <w:spacing w:after="0" w:before="0" w:lineRule="auto" w:line="276"/>
              <w:jc w:val="left"/>
            </w:pPr>
            <w:r>
              <w:rPr>
                <w:rFonts w:ascii="Times New Roman" w:hAnsi="Times New Roman" w:cs="Times New Roman" w:eastAsia="Times New Roman"/>
                <w:b w:val="false"/>
                <w:sz w:val="26"/>
              </w:rPr>
              <w:t>20-11-2014</w:t>
            </w:r>
          </w:p>
        </w:tc>
        <w:tc>
          <w:p/>
        </w:tc>
      </w:tr>
      <w:tr>
        <w:tc>
          <w:p/>
          <w:p>
            <w:pPr>
              <w:spacing w:after="0" w:before="0" w:lineRule="auto" w:line="276"/>
              <w:jc w:val="left"/>
            </w:pPr>
            <w:r>
              <w:rPr>
                <w:rFonts w:ascii="Times New Roman" w:hAnsi="Times New Roman" w:cs="Times New Roman" w:eastAsia="Times New Roman"/>
                <w:b w:val="false"/>
                <w:sz w:val="26"/>
              </w:rPr>
              <w:t>25/2008/QH12</w:t>
            </w:r>
          </w:p>
        </w:tc>
        <w:tc>
          <w:p/>
          <w:p>
            <w:pPr>
              <w:spacing w:after="0" w:before="0" w:lineRule="auto" w:line="276"/>
              <w:jc w:val="left"/>
            </w:pPr>
            <w:r>
              <w:rPr>
                <w:rFonts w:ascii="Times New Roman" w:hAnsi="Times New Roman" w:cs="Times New Roman" w:eastAsia="Times New Roman"/>
                <w:b w:val="false"/>
                <w:sz w:val="26"/>
              </w:rPr>
              <w:t>Luật Bảo hiểm y tế</w:t>
            </w:r>
          </w:p>
        </w:tc>
        <w:tc>
          <w:p/>
          <w:p>
            <w:pPr>
              <w:spacing w:after="0" w:before="0" w:lineRule="auto" w:line="276"/>
              <w:jc w:val="left"/>
            </w:pPr>
            <w:r>
              <w:rPr>
                <w:rFonts w:ascii="Times New Roman" w:hAnsi="Times New Roman" w:cs="Times New Roman" w:eastAsia="Times New Roman"/>
                <w:b w:val="false"/>
                <w:sz w:val="26"/>
              </w:rPr>
              <w:t>14-11-2008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Hộ tịch</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46/2014/QH13</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Bảo hiểm y tế</w:t>
            </w:r>
          </w:p>
        </w:tc>
        <w:tc>
          <w:p/>
          <w:p>
            <w:pPr>
              <w:spacing w:after="0" w:before="0" w:lineRule="auto" w:line="276"/>
              <w:jc w:val="left"/>
            </w:pPr>
            <w:r>
              <w:rPr>
                <w:rFonts w:ascii="Times New Roman" w:hAnsi="Times New Roman" w:cs="Times New Roman" w:eastAsia="Times New Roman"/>
                <w:b w:val="false"/>
                <w:sz w:val="26"/>
              </w:rPr>
              <w:t>13-06-2014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81/2006/QH11</w:t>
            </w:r>
          </w:p>
        </w:tc>
        <w:tc>
          <w:p/>
          <w:p>
            <w:pPr>
              <w:spacing w:after="0" w:before="0" w:lineRule="auto" w:line="276"/>
              <w:jc w:val="left"/>
            </w:pPr>
            <w:r>
              <w:rPr>
                <w:rFonts w:ascii="Times New Roman" w:hAnsi="Times New Roman" w:cs="Times New Roman" w:eastAsia="Times New Roman"/>
                <w:b w:val="false"/>
                <w:sz w:val="26"/>
              </w:rPr>
              <w:t>Luật Cư trú</w:t>
            </w:r>
          </w:p>
        </w:tc>
        <w:tc>
          <w:p/>
          <w:p>
            <w:pPr>
              <w:spacing w:after="0" w:before="0" w:lineRule="auto" w:line="276"/>
              <w:jc w:val="left"/>
            </w:pPr>
            <w:r>
              <w:rPr>
                <w:rFonts w:ascii="Times New Roman" w:hAnsi="Times New Roman" w:cs="Times New Roman" w:eastAsia="Times New Roman"/>
                <w:b w:val="false"/>
                <w:sz w:val="26"/>
              </w:rPr>
              <w:t>29-11-2006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63/2024/NĐ-CP</w:t>
            </w:r>
          </w:p>
        </w:tc>
        <w:tc>
          <w:p/>
          <w:p>
            <w:pPr>
              <w:spacing w:after="0" w:before="0" w:lineRule="auto" w:line="276"/>
              <w:jc w:val="left"/>
            </w:pPr>
            <w:r>
              <w:rPr>
                <w:rFonts w:ascii="Times New Roman" w:hAnsi="Times New Roman" w:cs="Times New Roman" w:eastAsia="Times New Roman"/>
                <w:b w:val="false"/>
                <w:sz w:val="26"/>
              </w:rPr>
              <w:t>Nghị định quy định việc thực hiện liên thông điện tử 02 nhóm thủ tục hành chính: Đăng ký khai sinh, đăng ký thường trú, cấp thẻ bảo hiểm y tế cho trẻ em dưới 6 tuổi; đăng ký khai tử, xóa đăng ký thường trú, giải quyết mai táng phí, tử tuất</w:t>
            </w:r>
          </w:p>
        </w:tc>
        <w:tc>
          <w:p/>
          <w:p>
            <w:pPr>
              <w:spacing w:after="0" w:before="0" w:lineRule="auto" w:line="276"/>
              <w:jc w:val="left"/>
            </w:pPr>
            <w:r>
              <w:rPr>
                <w:rFonts w:ascii="Times New Roman" w:hAnsi="Times New Roman" w:cs="Times New Roman" w:eastAsia="Times New Roman"/>
                <w:b w:val="false"/>
                <w:sz w:val="26"/>
              </w:rPr>
              <w:t>10-06-2024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102/2016/QH13</w:t>
            </w:r>
          </w:p>
        </w:tc>
        <w:tc>
          <w:p/>
          <w:p>
            <w:pPr>
              <w:spacing w:after="0" w:before="0" w:lineRule="auto" w:line="276"/>
              <w:jc w:val="left"/>
            </w:pPr>
            <w:r>
              <w:rPr>
                <w:rFonts w:ascii="Times New Roman" w:hAnsi="Times New Roman" w:cs="Times New Roman" w:eastAsia="Times New Roman"/>
                <w:b w:val="false"/>
                <w:sz w:val="26"/>
              </w:rPr>
              <w:t>Luật Trẻ em</w:t>
            </w:r>
          </w:p>
        </w:tc>
        <w:tc>
          <w:p/>
          <w:p>
            <w:pPr>
              <w:spacing w:after="0" w:before="0" w:lineRule="auto" w:line="276"/>
              <w:jc w:val="left"/>
            </w:pPr>
            <w:r>
              <w:rPr>
                <w:rFonts w:ascii="Times New Roman" w:hAnsi="Times New Roman" w:cs="Times New Roman" w:eastAsia="Times New Roman"/>
                <w:b w:val="false"/>
                <w:sz w:val="26"/>
              </w:rPr>
              <w:t>05-04-2016</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liên thông ĐKKS, DKTT, cấp thẻ BHYT; liên thông 3 trong 1</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2026-11-02T01:32:04Z</dcterms:created>
  <dc:creator>Apache POI</dc:creator>
</cp:coreProperties>
</file>