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có thể thỏa thuận hợp nhất thành một công ty luật trách nhiệm hữu hạn mới. Hai hoặc nhiều công ty luật hợp danh có thể thỏa thuận hợp nhất thành một công ty luật hợp danh mới. Hồ sơ hợp nhất công ty luật được gửi qua dịch vụ bưu chính hoặc trực tiếp đến Sở Tư pháp nơi công ty luật hợp nhất đăng ký hoạt động hoặc trực tuyến trên Cổng Dịch vụ công quốc gia.
Trong thời hạn 05 ngày làm việc  kể từ ngày nhận đủ hồ sơ hợp lệ, Sở Tư pháp cấp Giấy đăng ký hoạt động cho công ty luật hợp nhất;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hợp nhất công ty luật Việt Nam theo Thông tư 03/2024/TT-BTP</w:t>
            </w:r>
          </w:p>
        </w:tc>
        <w:tc>
          <w:p/>
          <w:p>
            <w:pPr>
              <w:spacing w:after="0" w:before="0" w:lineRule="auto" w:line="276"/>
              <w:jc w:val="left"/>
            </w:pPr>
            <w:r>
              <w:rPr>
                <w:rFonts w:ascii="Times New Roman" w:hAnsi="Times New Roman" w:cs="Times New Roman" w:eastAsia="Times New Roman"/>
                <w:b w:val="false"/>
                <w:sz w:val="26"/>
              </w:rPr>
              <w:t>Giynghhpnhtcngtylut.docx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Hợp đồng hợp nhất, trong đó phải quy định rõ về thủ tục, thời hạn và điều kiện hợp nhất; phương án sử dụng lao động; việc kế thừa toàn bộ quyền, nghĩa vụ và lợi ích hợp pháp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2026-08-01T18:33:16Z</dcterms:created>
  <dc:creator>Apache POI</dc:creator>
</cp:coreProperties>
</file>