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BHYT với cơ sở KCB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 Trong thời hạn 7 ngày làm việc (kể từ ngày kết thúc việc KCB đối với người bệnh) cơ sở KCB BHYT phải gửi dữ liệu điện tử đề nghị thanh toán chi phí KCB BHYT lên Cổng Tiếp nhận dữ liệu Hệ thống thông tin giám định BHYT của BHXH Việt Nam (sau đây gọi là Cổng Thông tin giám định BHYT), dữ liệu phát sinh vào những ngày cuối của tháng hoặc của quý hoặc của năm đến Cổng Thông tin giám định BHYT trước ngày mùng 5 của tháng kế tiếp.</w:t>
      </w:r>
    </w:p>
    <w:p>
      <w:pPr>
        <w:spacing w:after="0" w:before="0" w:lineRule="auto" w:line="276"/>
        <w:jc w:val="both"/>
      </w:pPr>
      <w:r>
        <w:rPr>
          <w:rFonts w:ascii="Times New Roman" w:hAnsi="Times New Roman" w:cs="Times New Roman" w:eastAsia="Times New Roman"/>
          <w:b w:val="false"/>
          <w:sz w:val="26"/>
        </w:rPr>
        <w:t>- Trong thời gian 15 ngày đầu mỗi tháng, cơ sở KCB BHYT lập bảng Tổng hợp chi phí khám bệnh, chữa bệnh của người tham gia BHYT (Mẫu C79-HD) tháng trước và gửi cho cơ quan BHXH.</w:t>
      </w:r>
    </w:p>
    <w:p>
      <w:pPr>
        <w:spacing w:after="0" w:before="0" w:lineRule="auto" w:line="276"/>
        <w:jc w:val="both"/>
      </w:pPr>
      <w:r>
        <w:rPr>
          <w:rFonts w:ascii="Times New Roman" w:hAnsi="Times New Roman" w:cs="Times New Roman" w:eastAsia="Times New Roman"/>
          <w:b w:val="false"/>
          <w:sz w:val="26"/>
        </w:rPr>
        <w:t>- Trong thời hạn 15 ngày đầu mỗi quý, cơ sở KCB BHYT gửi Báo cáo quyết toán chi phí khám bệnh, chữa bệnh BHYT của quý trước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tổng hợp chi phí KCB của người tham gia BHYT</w:t>
            </w:r>
          </w:p>
        </w:tc>
        <w:tc>
          <w:p/>
          <w:p>
            <w:pPr>
              <w:spacing w:after="0" w:before="0" w:lineRule="auto" w:line="276"/>
              <w:jc w:val="left"/>
            </w:pPr>
            <w:r>
              <w:rPr>
                <w:rFonts w:ascii="Times New Roman" w:hAnsi="Times New Roman" w:cs="Times New Roman" w:eastAsia="Times New Roman"/>
                <w:b w:val="false"/>
                <w:sz w:val="26"/>
              </w:rPr>
              <w:t>Mẫu C79HD.docx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thanh, quyết toán chi phí khám chữa bệnh BHYT, Cơ quan BHXH chuyển tiền cho cơ sở KCB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2026-08-01T18:11:11Z</dcterms:created>
  <dc:creator>Apache POI</dc:creator>
</cp:coreProperties>
</file>