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ủy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rõ quyền và nghĩa vụ của các bên và hậu quả pháp lý của việc ủy quyền đó cho các bên tham gia;</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dọa,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0" w:lineRule="auto" w:line="276"/>
        <w:jc w:val="both"/>
      </w:pPr>
      <w:r>
        <w:rPr>
          <w:rFonts w:ascii="Times New Roman" w:hAnsi="Times New Roman" w:cs="Times New Roman" w:eastAsia="Times New Roman"/>
          <w:b w:val="false"/>
          <w:sz w:val="26"/>
        </w:rPr>
        <w:t>Trong trường hợp bên ủy quyền và bên được ủy quyền không thể cùng đến một tổ chức hành nghề công chứng thì bên ủy quyền yêu cầu tổ chức hành nghề công chứng nơi họ cư trú công chứng hợp đồng ủy quyền; bên được ủy quyền yêu cầu tổ chức hành nghề công chứng nơi họ cư trú công chứng tiếp vào bản gốc hợp đồng ủy quyền này, hoàn tất thủ tục công chứng hợp đồng ủy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50.000 Đồng</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hợp đồng ủy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2026-10-21T02:08:53Z</dcterms:created>
  <dc:creator>Apache POI</dc:creator>
</cp:coreProperties>
</file>