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Người hưởng lĩnh chế độ bảo hiểm xã hội bằng tiền mặt chuyển sang lĩnh bằng tài khoản cá nhân và ngược lại, hoặc thay đổi thông tin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Chi trả các chế độ BHXH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nộp hồ sơ</w:t>
      </w:r>
    </w:p>
    <w:p>
      <w:pPr>
        <w:spacing w:after="0" w:before="0" w:lineRule="auto" w:line="276"/>
        <w:jc w:val="both"/>
      </w:pPr>
      <w:r>
        <w:rPr>
          <w:rFonts w:ascii="Times New Roman" w:hAnsi="Times New Roman" w:cs="Times New Roman" w:eastAsia="Times New Roman"/>
          <w:b w:val="false"/>
          <w:sz w:val="26"/>
        </w:rPr>
        <w:t>Người hưởng lập theo quy định tại mục Thành phần hồ sơ; nộp hồ sơ cho cơ quan bưu điện hoặc cơ quan BHXH, ghi rõ: Số tài khoản cá nhân (hoặc thẻ ATM), ngân hàng nơi mở tài khoản; hoặc nơi nhận chế độ BHXH hàng tháng mới. Nếu có chi phí phát hành thẻ ATM lần đầu, người hưởng nộp chứng từ cho Bưu điện tỉnh hoặc Bưu điện huyện để thanh toán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Cơ quan BHXH tiếp nhận hồ sơ và giải quyết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3. Nhận kết quả giải quyết</w:t>
      </w:r>
    </w:p>
    <w:p>
      <w:pPr>
        <w:spacing w:after="0" w:before="0" w:lineRule="auto" w:line="276"/>
        <w:jc w:val="both"/>
      </w:pPr>
      <w:r>
        <w:rPr>
          <w:rFonts w:ascii="Times New Roman" w:hAnsi="Times New Roman" w:cs="Times New Roman" w:eastAsia="Times New Roman"/>
          <w:b w:val="false"/>
          <w:sz w:val="26"/>
        </w:rPr>
        <w:t>Người hưởng lĩnh phí phát hành thẻ ATM (trong trường hợp phát hành thẻ ATM lần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Ngay khi cơ quan BHXH nhận được hồ sơ
1. Nộp hồ sơ: người hưởng nộp hồ sơ tại cơ quan BHXH hoặc các điểm chi trả; 
2. Nhận kết quả: người hưởng nhận phí phát hành thẻ ATM tại Bưu điện tỉnh hoặc Bưu điện huyện (nơi nộp chứng từ thu phí phát hành thẻ ATM lần đầu) ngay trong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Ngay khi cơ quan BHXH nhận được hồ sơ
1. Nộp hồ sơ: người hưởng nộp hồ sơ cho cơ quan BHXH thông qua dịch vụ bưu chính công ích.
2. Nhận kết quả: người hưởng nhận phí phát hành thẻ ATM tại Bưu điện tỉnh hoặc Bưu điện huyện (nơi nộp chứng từ thu phí phát hành thẻ ATM lần đầu) ngay trong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thay đổi thông tin người hưởng (mẫu số 2-CBH)</w:t>
            </w:r>
          </w:p>
        </w:tc>
        <w:tc>
          <w:p/>
          <w:p>
            <w:pPr>
              <w:spacing w:after="0" w:before="0" w:lineRule="auto" w:line="276"/>
              <w:jc w:val="left"/>
            </w:pPr>
            <w:r>
              <w:rPr>
                <w:rFonts w:ascii="Times New Roman" w:hAnsi="Times New Roman" w:cs="Times New Roman" w:eastAsia="Times New Roman"/>
                <w:b w:val="false"/>
                <w:sz w:val="26"/>
              </w:rPr>
              <w:t>02_CBH.docx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thu phí mở tài khoản cá nhân lần đầu của Ngân hàng nơi người hưởng mở tài khoản.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hưởng được thay đổi thông tin cá nhân và được nhận tiền theo hình thức đăng ký (bằng tiền mặt hoặc qua tài khoản cá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58/2014/QH13 -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2026-10-24T11:01:50Z</dcterms:created>
  <dc:creator>Apache POI</dc:creator>
</cp:coreProperties>
</file>