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929/QĐ_BHXH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đăng ký điều chỉnh đóng bảo hiểm xã hội bắt buộc, bảo hiểm y tế, bảo hiểm thất nghiệp và  báo cáo tình hình sử dụng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Khai báo tăng giảm lao động và báo cáo tình hình sử dụng lao động</w:t>
      </w:r>
    </w:p>
    <w:p>
      <w:pPr>
        <w:spacing w:after="0" w:before="0" w:lineRule="auto" w:line="276"/>
        <w:jc w:val="both"/>
      </w:pPr>
      <w:r>
        <w:rPr>
          <w:rFonts w:ascii="Times New Roman" w:hAnsi="Times New Roman" w:cs="Times New Roman" w:eastAsia="Times New Roman"/>
          <w:b w:val="false"/>
          <w:sz w:val="26"/>
        </w:rPr>
        <w:t>Bước 1: Doanh nghiệp truy cập vào cổng DVCQG.
Bước 2: Tìm kiếm và Chọn “Thủ tục liên thông đăng ký điều chỉnh đóng BHXH bắt buộc, BHYT, BHTN và báo cáo tình hình sử dụng lao động”.
Bước 3: Chọn cơ quan gửi báo cáo lao động (Sở LĐTBXH hoặc Phòng LĐTBXH).
Bước 4: Doanh ngiệp nhập biểu mẫu khai báo và gửi hồ sơ trên hệ thống BHXH.
Bước 5: Cán bộ BHXH xử lý hồ sơ liên quan đến BHXH
Bước 6: Cổng DVCQG lấy Dữ liệu Lao động từ hệ thống CSDL BHXH
Bước 7: Cổng DVCQ tự động gửi báo cáo về hệ thống một cửa của địa phương theo kì báo cáo do Bộ LĐTBXH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giải quyết của cơ quan BHXH: - Trường hợp cấp sổ BHXH, thẻ BHYT mới không quá 05 ngày. - Trường hợp tạm dừng đóng vào quỹ hưu trí, tử tuất không quá 05 ngày. - Trường hợp vi phạm quy định của pháp luật về đóng BHXH, BHYT, BHTN, BHTNLĐ - BNN không quá 10 ngày. - Trường hợp điều chỉnh tăng tiền lương đã đóng BHXH, BHYT, BHTN, BHTNLĐ - BNN không quá 03 ngày. - Trường hợp xác nhận sổ BHXH không quá 05 ngày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Định kỳ 6 tháng (trước 15/7), 1 năm (trước 15/01), hệ thống tự động gửi báo cáo tình hình sử dụng lao động đến cơ quan Lao động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tình hình sử dụng lao động và tham gia BHXH, BHYT, BHTN</w:t>
            </w:r>
          </w:p>
        </w:tc>
        <w:tc>
          <w:p/>
          <w:p>
            <w:pPr>
              <w:spacing w:after="0" w:before="0" w:lineRule="auto" w:line="276"/>
              <w:jc w:val="left"/>
            </w:pPr>
            <w:r>
              <w:rPr>
                <w:rFonts w:ascii="Times New Roman" w:hAnsi="Times New Roman" w:cs="Times New Roman" w:eastAsia="Times New Roman"/>
                <w:b w:val="false"/>
                <w:sz w:val="26"/>
              </w:rPr>
              <w:t>D02-TS_new.xlsx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tỉnh, Bảo hiểm xã hội Việt Nam, Công đoàn cơ quan BHXH Việt Nam, Sở Lao động Thương binh và Xã hội, Phòng Lao động TB&amp;XH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bảo hiểm xã hội, thẻ bảo hiểm y tế, Báo cáo tình hình sử dụng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w:t>
            </w:r>
          </w:p>
        </w:tc>
        <w:tc>
          <w:p/>
          <w:p>
            <w:pPr>
              <w:spacing w:after="0" w:before="0" w:lineRule="auto" w:line="276"/>
              <w:jc w:val="left"/>
            </w:pPr>
            <w:r>
              <w:rPr>
                <w:rFonts w:ascii="Times New Roman" w:hAnsi="Times New Roman" w:cs="Times New Roman" w:eastAsia="Times New Roman"/>
                <w:b w:val="false"/>
                <w:sz w:val="26"/>
              </w:rPr>
              <w:t>12-03-2015</w:t>
            </w:r>
          </w:p>
        </w:tc>
        <w:tc>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w:t>
            </w:r>
          </w:p>
        </w:tc>
        <w:tc>
          <w:p/>
          <w:p>
            <w:pPr>
              <w:spacing w:after="0" w:before="0" w:lineRule="auto" w:line="276"/>
              <w:jc w:val="left"/>
            </w:pPr>
            <w:r>
              <w:rPr>
                <w:rFonts w:ascii="Times New Roman" w:hAnsi="Times New Roman" w:cs="Times New Roman" w:eastAsia="Times New Roman"/>
                <w:b w:val="false"/>
                <w:sz w:val="26"/>
              </w:rPr>
              <w:t>31-07-2015</w:t>
            </w:r>
          </w:p>
        </w:tc>
        <w:tc>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tc>
      </w:tr>
      <w:tr>
        <w:tc>
          <w:p/>
          <w:p>
            <w:pPr>
              <w:spacing w:after="0" w:before="0" w:lineRule="auto" w:line="276"/>
              <w:jc w:val="left"/>
            </w:pPr>
            <w:r>
              <w:rPr>
                <w:rFonts w:ascii="Times New Roman" w:hAnsi="Times New Roman" w:cs="Times New Roman" w:eastAsia="Times New Roman"/>
                <w:b w:val="false"/>
                <w:sz w:val="26"/>
              </w:rPr>
              <w:t>37/2016/NĐ-CP</w:t>
            </w:r>
          </w:p>
        </w:tc>
        <w:tc>
          <w:p/>
          <w:p>
            <w:pPr>
              <w:spacing w:after="0" w:before="0" w:lineRule="auto" w:line="276"/>
              <w:jc w:val="left"/>
            </w:pPr>
            <w:r>
              <w:rPr>
                <w:rFonts w:ascii="Times New Roman" w:hAnsi="Times New Roman" w:cs="Times New Roman" w:eastAsia="Times New Roman"/>
                <w:b w:val="false"/>
                <w:sz w:val="26"/>
              </w:rPr>
              <w:t>Nghị định 37/2016/NĐ-CP</w:t>
            </w:r>
          </w:p>
        </w:tc>
        <w:tc>
          <w:p/>
          <w:p>
            <w:pPr>
              <w:spacing w:after="0" w:before="0" w:lineRule="auto" w:line="276"/>
              <w:jc w:val="left"/>
            </w:pPr>
            <w:r>
              <w:rPr>
                <w:rFonts w:ascii="Times New Roman" w:hAnsi="Times New Roman" w:cs="Times New Roman" w:eastAsia="Times New Roman"/>
                <w:b w:val="false"/>
                <w:sz w:val="26"/>
              </w:rPr>
              <w:t>15-05-2016</w:t>
            </w:r>
          </w:p>
        </w:tc>
        <w:tc>
          <w:p/>
        </w:tc>
      </w:tr>
      <w:tr>
        <w:tc>
          <w:p/>
          <w:p>
            <w:pPr>
              <w:spacing w:after="0" w:before="0" w:lineRule="auto" w:line="276"/>
              <w:jc w:val="left"/>
            </w:pPr>
            <w:r>
              <w:rPr>
                <w:rFonts w:ascii="Times New Roman" w:hAnsi="Times New Roman" w:cs="Times New Roman" w:eastAsia="Times New Roman"/>
                <w:b w:val="false"/>
                <w:sz w:val="26"/>
              </w:rPr>
              <w:t>41/2014/TTLT-BYT-BTC</w:t>
            </w:r>
          </w:p>
        </w:tc>
        <w:tc>
          <w:p/>
          <w:p>
            <w:pPr>
              <w:spacing w:after="0" w:before="0" w:lineRule="auto" w:line="276"/>
              <w:jc w:val="left"/>
            </w:pPr>
            <w:r>
              <w:rPr>
                <w:rFonts w:ascii="Times New Roman" w:hAnsi="Times New Roman" w:cs="Times New Roman" w:eastAsia="Times New Roman"/>
                <w:b w:val="false"/>
                <w:sz w:val="26"/>
              </w:rPr>
              <w:t>Thông tư liên tịch 41/2014/TTLT-BYT-BTC</w:t>
            </w:r>
          </w:p>
        </w:tc>
        <w:tc>
          <w:p/>
          <w:p>
            <w:pPr>
              <w:spacing w:after="0" w:before="0" w:lineRule="auto" w:line="276"/>
              <w:jc w:val="left"/>
            </w:pPr>
            <w:r>
              <w:rPr>
                <w:rFonts w:ascii="Times New Roman" w:hAnsi="Times New Roman" w:cs="Times New Roman" w:eastAsia="Times New Roman"/>
                <w:b w:val="false"/>
                <w:sz w:val="26"/>
              </w:rPr>
              <w:t>24-11-2014</w:t>
            </w:r>
          </w:p>
        </w:tc>
        <w:tc>
          <w:p/>
        </w:tc>
      </w:tr>
      <w:tr>
        <w:tc>
          <w:p/>
          <w:p>
            <w:pPr>
              <w:spacing w:after="0" w:before="0" w:lineRule="auto" w:line="276"/>
              <w:jc w:val="left"/>
            </w:pPr>
            <w:r>
              <w:rPr>
                <w:rFonts w:ascii="Times New Roman" w:hAnsi="Times New Roman" w:cs="Times New Roman" w:eastAsia="Times New Roman"/>
                <w:b w:val="false"/>
                <w:sz w:val="26"/>
              </w:rPr>
              <w:t>16/2015/TTLT-BYT-BTC</w:t>
            </w:r>
          </w:p>
        </w:tc>
        <w:tc>
          <w:p/>
          <w:p>
            <w:pPr>
              <w:spacing w:after="0" w:before="0" w:lineRule="auto" w:line="276"/>
              <w:jc w:val="left"/>
            </w:pPr>
            <w:r>
              <w:rPr>
                <w:rFonts w:ascii="Times New Roman" w:hAnsi="Times New Roman" w:cs="Times New Roman" w:eastAsia="Times New Roman"/>
                <w:b w:val="false"/>
                <w:sz w:val="26"/>
              </w:rPr>
              <w:t>Thông tư liên tịch 16/2015/TTLT-BYT-BTC</w:t>
            </w:r>
          </w:p>
        </w:tc>
        <w:tc>
          <w:p/>
          <w:p>
            <w:pPr>
              <w:spacing w:after="0" w:before="0" w:lineRule="auto" w:line="276"/>
              <w:jc w:val="left"/>
            </w:pPr>
            <w:r>
              <w:rPr>
                <w:rFonts w:ascii="Times New Roman" w:hAnsi="Times New Roman" w:cs="Times New Roman" w:eastAsia="Times New Roman"/>
                <w:b w:val="false"/>
                <w:sz w:val="26"/>
              </w:rPr>
              <w:t>02-07-2015</w:t>
            </w:r>
          </w:p>
        </w:tc>
        <w:tc>
          <w:p/>
        </w:tc>
      </w:tr>
      <w:tr>
        <w:tc>
          <w:p/>
          <w:p>
            <w:pPr>
              <w:spacing w:after="0" w:before="0" w:lineRule="auto" w:line="276"/>
              <w:jc w:val="left"/>
            </w:pPr>
            <w:r>
              <w:rPr>
                <w:rFonts w:ascii="Times New Roman" w:hAnsi="Times New Roman" w:cs="Times New Roman" w:eastAsia="Times New Roman"/>
                <w:b w:val="false"/>
                <w:sz w:val="26"/>
              </w:rPr>
              <w:t>44/2017/NĐ-CP</w:t>
            </w:r>
          </w:p>
        </w:tc>
        <w:tc>
          <w:p/>
          <w:p>
            <w:pPr>
              <w:spacing w:after="0" w:before="0" w:lineRule="auto" w:line="276"/>
              <w:jc w:val="left"/>
            </w:pPr>
            <w:r>
              <w:rPr>
                <w:rFonts w:ascii="Times New Roman" w:hAnsi="Times New Roman" w:cs="Times New Roman" w:eastAsia="Times New Roman"/>
                <w:b w:val="false"/>
                <w:sz w:val="26"/>
              </w:rPr>
              <w:t>Nghị định 44/2017/NĐ-CP</w:t>
            </w:r>
          </w:p>
        </w:tc>
        <w:tc>
          <w:p/>
          <w:p>
            <w:pPr>
              <w:spacing w:after="0" w:before="0" w:lineRule="auto" w:line="276"/>
              <w:jc w:val="left"/>
            </w:pPr>
            <w:r>
              <w:rPr>
                <w:rFonts w:ascii="Times New Roman" w:hAnsi="Times New Roman" w:cs="Times New Roman" w:eastAsia="Times New Roman"/>
                <w:b w:val="false"/>
                <w:sz w:val="26"/>
              </w:rPr>
              <w:t>14-04-2017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30 ngày kể từ ngày giao kết hợp đồng lao động hoặc hợp đồng làm việc hoặc ngày có hiệu lực của quyết định tuyển dụng người sử dụng lao động phải nộp toàn bộ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2026-06-04T19:25:46Z</dcterms:created>
  <dc:creator>Apache POI</dc:creator>
</cp:coreProperties>
</file>