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1.000155</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3440/QĐ-NHNN</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Đề nghị cấp Giấy phép kinh doanh mua, bán vàng miếng cho doanh nghiệp</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Hoạt động ngoại hối</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Bước 1: Doanh nghiệp gửi hồ sơ đến Ngân hàng Nhà nước Việt Nam</w:t>
      </w:r>
    </w:p>
    <w:p>
      <w:pPr>
        <w:spacing w:after="0" w:before="0" w:lineRule="auto" w:line="276"/>
        <w:jc w:val="both"/>
      </w:pPr>
      <w:r>
        <w:rPr>
          <w:rFonts w:ascii="Times New Roman" w:hAnsi="Times New Roman" w:cs="Times New Roman" w:eastAsia="Times New Roman"/>
          <w:b w:val="false"/>
          <w:sz w:val="26"/>
        </w:rPr>
        <w:t>+ Bước 2: Sau khi nhận đủ hồ sơ hợp lệ, Ngân hàng Nhà nước Việt Nam thông báo để Ngân hàng Nhà nước Khu vực trên địa bàn kiểm tra về giấy tờ pháp lý chứng minh quyền sở hữu hoặc quyền sử dụng địa điểm kinh doanh và tình hình trang thiết bị cần thiết để triển khai hoạt động mua, bán vàng miếng tại địa điểm đăng ký làm địa điểm kinh doanh mua, bán vàng miếng.</w:t>
      </w:r>
    </w:p>
    <w:p>
      <w:pPr>
        <w:spacing w:after="0" w:before="0" w:lineRule="auto" w:line="276"/>
        <w:jc w:val="both"/>
      </w:pPr>
      <w:r>
        <w:rPr>
          <w:rFonts w:ascii="Times New Roman" w:hAnsi="Times New Roman" w:cs="Times New Roman" w:eastAsia="Times New Roman"/>
          <w:b w:val="false"/>
          <w:sz w:val="26"/>
        </w:rPr>
        <w:t>+ Bước 3: Trong thời hạn 07 ngày làm việc kể từ ngày nhận được thông báo của Ngân hàng Nhà nước Việt Nam, Ngân hàng Nhà nước Khu vực báo cáo kết quả kiểm tra cho Ngân hàng Nhà nước Việt Nam (Cục Quản lý ngoại hối).</w:t>
      </w:r>
    </w:p>
    <w:p>
      <w:pPr>
        <w:spacing w:after="0" w:before="0" w:lineRule="auto" w:line="276"/>
        <w:jc w:val="both"/>
      </w:pPr>
      <w:r>
        <w:rPr>
          <w:rFonts w:ascii="Times New Roman" w:hAnsi="Times New Roman" w:cs="Times New Roman" w:eastAsia="Times New Roman"/>
          <w:b w:val="false"/>
          <w:sz w:val="26"/>
        </w:rPr>
        <w:t>+ Bước 4: Trong thời hạn 30 ngày làm việc kể từ ngày nhận đủ hồ sơ hợp lệ của doanh nghiệp, Ngân hàng Nhà nước cấp hoặc từ chối cấp Giấy phép kinh doanh mua, bán vàng miếng.</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30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30 ngày làm việc kể từ ngày nhận đủ hồ sơ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30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30 ngày làm việc kể từ ngày nhận đủ hồ sơ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đề nghị cấp Giấy phép kinh doanh mua, bán vàng miếng</w:t>
            </w:r>
          </w:p>
        </w:tc>
        <w:tc>
          <w:p/>
          <w:p>
            <w:pPr>
              <w:spacing w:after="0" w:before="0" w:lineRule="auto" w:line="276"/>
              <w:jc w:val="left"/>
            </w:pPr>
            <w:r>
              <w:rPr>
                <w:rFonts w:ascii="Times New Roman" w:hAnsi="Times New Roman" w:cs="Times New Roman" w:eastAsia="Times New Roman"/>
                <w:b w:val="false"/>
                <w:sz w:val="26"/>
              </w:rPr>
              <w:t>Phlc2.doc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Danh sách các địa điểm đăng ký làm địa điểm kinh doanh mua, bán vàng miếng (trụ sở chính, chi nhánh, địa điểm kinh doanh)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Xác nhận của cơ quan thuế về số thuế đã nộp của hoạt động kinh doanh vàng trong 02 (hai) năm liền kề trước đó</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Giấy chứng nhận đăng ký hoạt động chi nhánh và văn bản thể hiện địa điểm đăng ký làm địa điểm kinh doanh mua, bán vàng miếng theo danh sách tại điểm 2 nêu trên đã được đăng ký kinh doanh hoặc đã được thông báo tới cơ quan đăng ký kinh doanh có thẩm quyền theo quy định của pháp luật.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 Doanh nghiệp có vốn đầu tư nước ngoài</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Ngân hàng Nhà nước Việt Nam</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Ngân hàng Nhà nước Việt Nam</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Ngân hàng Nhà nước Việt Nam</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phép kinh doanh mua, bán vàng miếng.</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38/2015/TT-BTC</w:t>
            </w:r>
          </w:p>
        </w:tc>
        <w:tc>
          <w:p/>
          <w:p>
            <w:pPr>
              <w:spacing w:after="0" w:before="0" w:lineRule="auto" w:line="276"/>
              <w:jc w:val="left"/>
            </w:pPr>
            <w:r>
              <w:rPr>
                <w:rFonts w:ascii="Times New Roman" w:hAnsi="Times New Roman" w:cs="Times New Roman" w:eastAsia="Times New Roman"/>
                <w:b w:val="false"/>
                <w:sz w:val="26"/>
              </w:rPr>
              <w:t>Thông tư 38/2015/TT-BTC</w:t>
            </w:r>
          </w:p>
        </w:tc>
        <w:tc>
          <w:p/>
          <w:p>
            <w:pPr>
              <w:spacing w:after="0" w:before="0" w:lineRule="auto" w:line="276"/>
              <w:jc w:val="left"/>
            </w:pPr>
            <w:r>
              <w:rPr>
                <w:rFonts w:ascii="Times New Roman" w:hAnsi="Times New Roman" w:cs="Times New Roman" w:eastAsia="Times New Roman"/>
                <w:b w:val="false"/>
                <w:sz w:val="26"/>
              </w:rPr>
              <w:t>25-03-2015</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16/2012/TT-NHNN</w:t>
            </w:r>
          </w:p>
        </w:tc>
        <w:tc>
          <w:p/>
          <w:p>
            <w:pPr>
              <w:spacing w:after="0" w:before="0" w:lineRule="auto" w:line="276"/>
              <w:jc w:val="left"/>
            </w:pPr>
            <w:r>
              <w:rPr>
                <w:rFonts w:ascii="Times New Roman" w:hAnsi="Times New Roman" w:cs="Times New Roman" w:eastAsia="Times New Roman"/>
                <w:b w:val="false"/>
                <w:sz w:val="26"/>
              </w:rPr>
              <w:t>Thông tư 16/2012/TT-NHNN</w:t>
            </w:r>
          </w:p>
        </w:tc>
        <w:tc>
          <w:p/>
          <w:p>
            <w:pPr>
              <w:spacing w:after="0" w:before="0" w:lineRule="auto" w:line="276"/>
              <w:jc w:val="left"/>
            </w:pPr>
            <w:r>
              <w:rPr>
                <w:rFonts w:ascii="Times New Roman" w:hAnsi="Times New Roman" w:cs="Times New Roman" w:eastAsia="Times New Roman"/>
                <w:b w:val="false"/>
                <w:sz w:val="26"/>
              </w:rPr>
              <w:t>25-05-2012</w:t>
            </w:r>
          </w:p>
        </w:tc>
        <w:tc>
          <w:p/>
          <w:p>
            <w:pPr>
              <w:spacing w:after="0" w:before="0" w:lineRule="auto" w:line="276"/>
              <w:jc w:val="left"/>
            </w:pPr>
            <w:r>
              <w:rPr>
                <w:rFonts w:ascii="Times New Roman" w:hAnsi="Times New Roman" w:cs="Times New Roman" w:eastAsia="Times New Roman"/>
                <w:b w:val="false"/>
                <w:sz w:val="26"/>
              </w:rPr>
              <w:t>Ngân hàng Nhà nước Việt Nam</w:t>
            </w:r>
          </w:p>
        </w:tc>
      </w:tr>
      <w:tr>
        <w:tc>
          <w:p/>
          <w:p>
            <w:pPr>
              <w:spacing w:after="0" w:before="0" w:lineRule="auto" w:line="276"/>
              <w:jc w:val="left"/>
            </w:pPr>
            <w:r>
              <w:rPr>
                <w:rFonts w:ascii="Times New Roman" w:hAnsi="Times New Roman" w:cs="Times New Roman" w:eastAsia="Times New Roman"/>
                <w:b w:val="false"/>
                <w:sz w:val="26"/>
              </w:rPr>
              <w:t>03/2017/TT-NHNN</w:t>
            </w:r>
          </w:p>
        </w:tc>
        <w:tc>
          <w:p/>
          <w:p>
            <w:pPr>
              <w:spacing w:after="0" w:before="0" w:lineRule="auto" w:line="276"/>
              <w:jc w:val="left"/>
            </w:pPr>
            <w:r>
              <w:rPr>
                <w:rFonts w:ascii="Times New Roman" w:hAnsi="Times New Roman" w:cs="Times New Roman" w:eastAsia="Times New Roman"/>
                <w:b w:val="false"/>
                <w:sz w:val="26"/>
              </w:rPr>
              <w:t>Thông tư 03/2017/TT-NHNN</w:t>
            </w:r>
          </w:p>
        </w:tc>
        <w:tc>
          <w:p/>
          <w:p>
            <w:pPr>
              <w:spacing w:after="0" w:before="0" w:lineRule="auto" w:line="276"/>
              <w:jc w:val="left"/>
            </w:pPr>
            <w:r>
              <w:rPr>
                <w:rFonts w:ascii="Times New Roman" w:hAnsi="Times New Roman" w:cs="Times New Roman" w:eastAsia="Times New Roman"/>
                <w:b w:val="false"/>
                <w:sz w:val="26"/>
              </w:rPr>
              <w:t>06-06-2017</w:t>
            </w:r>
          </w:p>
        </w:tc>
        <w:tc>
          <w:p/>
          <w:p>
            <w:pPr>
              <w:spacing w:after="0" w:before="0" w:lineRule="auto" w:line="276"/>
              <w:jc w:val="left"/>
            </w:pPr>
            <w:r>
              <w:rPr>
                <w:rFonts w:ascii="Times New Roman" w:hAnsi="Times New Roman" w:cs="Times New Roman" w:eastAsia="Times New Roman"/>
                <w:b w:val="false"/>
                <w:sz w:val="26"/>
              </w:rPr>
              <w:t>Ngân hàng Nhà nước Việt Nam</w:t>
            </w:r>
          </w:p>
        </w:tc>
      </w:tr>
      <w:tr>
        <w:tc>
          <w:p/>
          <w:p>
            <w:pPr>
              <w:spacing w:after="0" w:before="0" w:lineRule="auto" w:line="276"/>
              <w:jc w:val="left"/>
            </w:pPr>
            <w:r>
              <w:rPr>
                <w:rFonts w:ascii="Times New Roman" w:hAnsi="Times New Roman" w:cs="Times New Roman" w:eastAsia="Times New Roman"/>
                <w:b w:val="false"/>
                <w:sz w:val="26"/>
              </w:rPr>
              <w:t>	24/2012/NĐ-CP</w:t>
            </w:r>
          </w:p>
        </w:tc>
        <w:tc>
          <w:p/>
          <w:p>
            <w:pPr>
              <w:spacing w:after="0" w:before="0" w:lineRule="auto" w:line="276"/>
              <w:jc w:val="left"/>
            </w:pPr>
            <w:r>
              <w:rPr>
                <w:rFonts w:ascii="Times New Roman" w:hAnsi="Times New Roman" w:cs="Times New Roman" w:eastAsia="Times New Roman"/>
                <w:b w:val="false"/>
                <w:sz w:val="26"/>
              </w:rPr>
              <w:t>Nghị định 24/2012/NĐ-CP</w:t>
            </w:r>
          </w:p>
        </w:tc>
        <w:tc>
          <w:p/>
          <w:p>
            <w:pPr>
              <w:spacing w:after="0" w:before="0" w:lineRule="auto" w:line="276"/>
              <w:jc w:val="left"/>
            </w:pPr>
            <w:r>
              <w:rPr>
                <w:rFonts w:ascii="Times New Roman" w:hAnsi="Times New Roman" w:cs="Times New Roman" w:eastAsia="Times New Roman"/>
                <w:b w:val="false"/>
                <w:sz w:val="26"/>
              </w:rPr>
              <w:t>03-04-2012</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24/2022/TT-NHNN</w:t>
            </w:r>
          </w:p>
        </w:tc>
        <w:tc>
          <w:p/>
          <w:p>
            <w:pPr>
              <w:spacing w:after="0" w:before="0" w:lineRule="auto" w:line="276"/>
              <w:jc w:val="left"/>
            </w:pPr>
            <w:r>
              <w:rPr>
                <w:rFonts w:ascii="Times New Roman" w:hAnsi="Times New Roman" w:cs="Times New Roman" w:eastAsia="Times New Roman"/>
                <w:b w:val="false"/>
                <w:sz w:val="26"/>
              </w:rPr>
              <w:t>Thông tư 24/2022/TT-NHNN</w:t>
            </w:r>
          </w:p>
        </w:tc>
        <w:tc>
          <w:p/>
          <w:p>
            <w:pPr>
              <w:spacing w:after="0" w:before="0" w:lineRule="auto" w:line="276"/>
              <w:jc w:val="left"/>
            </w:pPr>
            <w:r>
              <w:rPr>
                <w:rFonts w:ascii="Times New Roman" w:hAnsi="Times New Roman" w:cs="Times New Roman" w:eastAsia="Times New Roman"/>
                <w:b w:val="false"/>
                <w:sz w:val="26"/>
              </w:rPr>
              <w:t>30-12-2022</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Là doanh nghiệp thành lập và hoạt động theo quy định của pháp luật.
+ Có vốn điều lệ từ 100 tỷ đồng trở lên.
+ Có kinh nghiệm hoạt động trong lĩnh vực kinh doanh mua, bán vàng từ 2 (hai) năm trở lên.
+ Có số thuế đã nộp của hoạt động kinh doanh vàng từ 500 (năm trăm) triệu đồng/năm trở lên trong 2 (hai) năm liên tiếp gần nhất (có xác nhận của cơ quan thuế).
+ Có mạng lưới chi nhánh, địa điểm bán hàng tại Việt Nam từ 3 (ba) tỉnh, thành phố trực thuộc Trung ương trở lên.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2026-10-24T11:09:04Z</dcterms:created>
  <dc:creator>Apache POI</dc:creator>
</cp:coreProperties>
</file>