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1.001471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5568/QĐ-BCA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hộ chiếu phổ thông ở trong nước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Nộp hồ sơ
* Người đề nghị cấp hộ chiếu phổ thông không gắn chíp điện tử từ lần thứ hai hoặc lần đầu nếu thuộc một trong các trường hợp quy định tại khoản 4 Điều 15 Luật Xuất cảnh, nhập cảnh của công dân Việt Nam trực tiếp nộp hồ sơ vào giờ hành chính các ngày làm việc trong tuần tại một trong hai trụ sở làm việc của Cục Quản lý xuất nhập cảnh - Bộ Công an:
+ Số 44-46 đường Trần Phú, quận Ba Đình, thành phố Hà Nội.
+ Số 333-335-337 đường Nguyễn Trãi, Quận 1, Thành phố Hồ Chí Minh.
Khi đến nộp hồ sơ phải xuất trình Chứng minh nhân dân, Thẻ căn cước công dân hoặc hộ chiếu còn giá trị sử dụng.
Hoặc nộp hồ sơ trực tuyến qua Cổng dịch vụ công quốc gia hoặc Cổng dịch vụ công Bộ Công an và gửi bổ sung hồ sơ qua dịch vụ bưu chính công ích theo thông báo của Cục Quản lý xuất nhập cảnh trên Cổng dịch vụ công quốc gia hoặc Cổng dịch vụ công Bộ Công an (nếu có).
* Cán bộ quản lý xuất nhập cảnh tiếp nhận hồ sơ kiểm tra tính pháp lý và nội dung hồ sơ:
+ Trường hợp hồ sơ đã đầy đủ, hợp lệ thì cấp giấy hẹn trả kết quả cho người đề nghị cấp hộ chiếu phổ thông; yêu cầu nộp lệ phí cho cán bộ thu lệ phí. Cán bộ thu lệ phí thu tiền, giao biên lai thu tiền cho người đề nghị cấp hộ chiếu phổ thông hoặc thông báo trên Cổng dịch vụ công quốc gia hoặc Cổng dịch vụ công Bộ Công an để người đề nghị cấp hộ chiếu phổ thông thanh toán trực tuyến và nhận biên lai điện tử.
+ Trường hợp hồ sơ thiếu hoặc không hợp lệ thì cán bộ tiếp nhận hồ sơ hướng dẫn hoặc thông báo trên Cổng dịch vụ công quốc gia hoặc Cổng dịch vụ công Bộ Công an để người đề nghị cấp hộ chiếu phổ thông hoàn chỉnh hồ sơ.
+ Trường hợp hồ sơ không đủ điều kiện thì không tiếp nhận hồ sơ, trả lời bằng văn bản hoặc thông báo trên Cổng dịch vụ công quốc gia hoặc Cổng dịch vụ công Bộ Công an và nêu rõ lý do.
* Người đề nghị cấp hộ chiếu có thể đề nghị nhận kết quả qua dịch vụ bưu chính và phải trả phí dịch vụ chuyển phát.
* Thời gian tiếp nhận hồ sơ: Từ thứ 2 đến sáng thứ 7 hàng tuần (trừ ngày Tết, ngày lễ).</w:t>
      </w:r>
    </w:p>
    <w:p>
      <w:pPr>
        <w:spacing w:after="0" w:before="0" w:lineRule="auto" w:line="276"/>
        <w:jc w:val="both"/>
      </w:pPr>
      <w:r>
        <w:rPr>
          <w:rFonts w:ascii="Times New Roman" w:hAnsi="Times New Roman" w:cs="Times New Roman" w:eastAsia="Times New Roman"/>
          <w:b w:val="false"/>
          <w:sz w:val="26"/>
        </w:rPr>
        <w:t>Bước 3: Nhận kết quả
+ Người đề nghị cấp hộ chiếu phổ thông trực tiếp nhận kết quả tại Cục Quản lý xuất nhập cảnh, Bộ Công an. Khi đến nhận kết quả mang theo giấy hẹn trả kết quả, xuất trình Chứng minh nhân dân, Thẻ căn cước công dân. Trường hợp đề nghị nhận kết quả qua dịch vụ bưu chính thực hiện theo hướng dẫn của cơ quan cung cấp dịch vụ bưu chính.
+ Trường hợp chưa cấp hộ chiếu phổ thông thì trả lời bằng văn bản hoặc thông báo trên Cổng dịch vụ công trực tuyến và nêu rõ lý do.
+ Trường hợp hồ sơ không đủ điều kiện thì không tiếp nhận hồ sơ, trả lời bằng văn bản hoặc thông báo trên Cổng dịch vụ công quốc gia hoặc Cổng dịch vụ công Bộ Công an và nêu rõ lý do.
+ Thời gian trả kết quả: Từ thứ 2 đến thứ 6 hàng tuần (trừ ngày Tết, ngày lễ).</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tiếp tại trụ sở Cục Quản lý xuất nhập cảnh (có thể khai tờ khai đề nghị cấp hộ chiếu phổ thông ở trong nước qua các cổng cung cấp dịch vụ công trực tuyến trước khi đến nộp hồ sơ trực tuyến).
Không quá 05 ngày làm việc kể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Không quá 03 ngày làm việc kể từ ngày nhận đầy đủ hồ sơ theo quy định đối với các trường hợp quy định tại khoản 4 Điều 15 Luật xuất cảnh, nhập cảnh của công dân Việt Nam.
Có thể khai tờ khai đề nghị cấp hộ chiếu phổ thông ở trong nước qua các cổng cung cấp dịch vụ công trực tuyến, sau đó trực tiếp nộp hồ sơ và nhận kết quả hoặc đề nghị nhận kết quả qua dịch vụ bưu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Không quá 05 ngày làm việc kể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hồ sơ trực tuyến qua Cổng dịch vụ công quốc gia hoặc Cổng dịch vụ công Bộ Công an.
Không quá 03 ngày làm việc kể từ ngày nhận đầy đủ hồ sơ theo quy định đối với các trường hợp quy định tại khoản 4 Điều 15 Luật xuất cảnh, nhập cảnh của công dân Việt Nam.
Có thể khai tờ khai đề nghị cấp hộ chiếu phổ thông ở trong nước qua các cổng cung cấp dịch vụ công trực tuyến, sau đó trực tiếp nộp hồ sơ và nhận kết quả hoặc đề nghị nhận kết quả qua dịch vụ bưu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Cục Quản lý xuất nhập cảnh trên Cổng dịch vụ công quốc gia hoặc Cổng dịch vụ công Bộ Công an (nếu có).
Không quá 05 ngày làm việc kể từ ngày nhận đầy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Phí : 200000 Đồng</w:t>
              <w:t xml:space="preserve"> (200.000 đồng/ hộ chiếu. Trường hợp cấp lại do bị hỏng hoặc bị mất: 400.000đ/hộ chiếu (Thông tư số 25/2021/TT-BTC ngày 07/4/2021 của Bộ Tài chính).)</w:t>
            </w:r>
          </w:p>
        </w:tc>
        <w:tc>
          <w:p/>
          <w:p>
            <w:pPr>
              <w:spacing w:after="0" w:before="0" w:lineRule="auto" w:line="276"/>
              <w:jc w:val="left"/>
            </w:pPr>
            <w:r>
              <w:rPr>
                <w:rFonts w:ascii="Times New Roman" w:hAnsi="Times New Roman" w:cs="Times New Roman" w:eastAsia="Times New Roman"/>
                <w:b w:val="false"/>
                <w:sz w:val="26"/>
              </w:rPr>
              <w:t>nộp bổ sung hồ sơ qua dịch vụ bưu chính công ích theo thông báo của Cục Quản lý xuất nhập cảnh trên Cổng dịch vụ công quốc gia hoặc Cổng dịch vụ công Bộ Công an (nếu có).
Không quá 03 ngày làm việc kể từ ngày nhận đầy đủ hồ sơ theo quy định đối với các trường hợp quy định tại khoản 4 Điều 15 Luật xuất cảnh, nhập cảnh của công dân Việt Nam.
Có thể khai tờ khai đề nghị cấp hộ chiếu phổ thông ở trong nước qua các cổng cung cấp dịch vụ công trực tuyến, sau đó trực tiếp nộp hồ sơ và nhận kết quả hoặc đề nghị nhận kết quả qua dịch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Các trường hợp quy định tại khoản 4 Điều 15 Luật Xuất cảnh, nhập cảnh của công dân Việt Nam đề nghị cấp hộ chiếu phổ thông ở trong nước lần đầu tại Cục Quản lý xuất nhập cảnh phải bổ sung một trong các loại hồ sơ,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giới thiệu hoặc đề nghị của bệnh viện về việc ra nước ngoài để khám, chữa bệnh;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xác định thân nhân ở nước ngoài bị tai nạn, bệnh tật, bị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của cơ quan trực tiếp quản lý đối với cán bộ, công chức, viên chức, sĩ quan, hạ sĩ quan, quân nhân chuyên nghiệp, công nhân, viên chức trong lực lượng vũ trang, người làm việc trong tổ chức cơ yếu;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đối với các trường hợp vì lý do nhân đạo, khẩn cấp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+ 02 ảnh mới chụp không quá 06 tháng, cỡ 4cm x6cm, mặt nhìn thẳng, đầu để trần, rõ mặt, rõ hai tai, không đeo kính, trang phục lịch sự, phông nền trắng.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 phổ thông cấp lần gần nhất đối với người đã được cấp hộ chiếu; trường hợp bị mất hộ chiếu, phải có đơn trình báo mất hộ chiếu hoặc thông báo về việc đã tiếp nhận đơn của cơ quan có thẩm quyền quy định tại Điều 28 Luật Xuất cảnh, nhập cảnh của công dân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Chứng minh nhân dân hoặc Thẻ căn cước công dân đối với trường hợp có sự thay đổi thông tin về nhân thân so với thông tin trong hộ chiếu đã cấp lần gần nhất.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khai sinh hoặc trích lục khai sinh đối với người chưa đủ 14 tuổi;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chụp có chứng thực giấy tờ do cơ quan có thẩm quyền của Việt Nam cấp chứng minh người đại diện hợp pháp đối với người mất năng lực hành vi dân sự, người có khó khăn trong nhận thức, làm chủ hành vi theo quy định của Bộ luật dân sự, người chưa đủ 14 tuổi; trường hợp bản chụp không có chứng thực thì xuất trình bản chính để kiểm tra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nộp hồ sơ trực tuyến thì thành phần hồ sơ phải được chứng thực điện tử theo quy định, trường hợp hồ sơ chưa được chứng thực điện tử thì gửi hồ sơ về cơ quan tiếp nhận thông qua dịch vụ bưu chính công ích.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01 (một)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tờ khai đề nghị cấp hộ chiếu phổ thông (mẫu TK01) ban hành kèm theo Thông tư số 73/2021/TT-BCA ngày 29/6/2021 của Bộ Công an. Đối với người mất năng lực hành vi dân sự, người có khó khăn trong nhận thức và làm chủ hành vi, người chưa đủ 14 tuổi, tờ khai do người đại diện hợp pháp khai, ký thay KHÔNG CẦN XÁC NHẬN CỦA CHÍNH QUYỀN ĐỊA PHƯƠNG (XÃ, PHƯỜNG, THỊ TRẤN NƠI CƯ TRÚ);</w:t>
            </w:r>
          </w:p>
        </w:tc>
        <w:tc>
          <w:p/>
          <w:p>
            <w:pPr>
              <w:spacing w:after="0" w:before="0" w:lineRule="auto" w:line="276"/>
              <w:jc w:val="left"/>
            </w:pPr>
            <w:r>
              <w:rPr>
                <w:rFonts w:ascii="Times New Roman" w:hAnsi="Times New Roman" w:cs="Times New Roman" w:eastAsia="Times New Roman"/>
                <w:b w:val="false"/>
                <w:sz w:val="26"/>
              </w:rPr>
              <w:t>Mau TK01.tt73.2021.doc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Cục quản lý xuất nhập cảnh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Cục quản lý xuất nhập cảnh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Quản lý xuất nhập cảnh - Bộ Công an: + Số 44-46 đường Trần Phú, quận Ba Đình, thành phố Hà Nội. + Số 333-335-337 đường Nguyễn Trãi, Quận 1, Thành phố Hồ Chí Minh.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Hộ chiếu phổ thông không gắn chíp điện tử hoặc hộ chiếu phổ thông có gắn chíp điện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49/2019/QH14</w:t>
            </w:r>
          </w:p>
        </w:tc>
        <w:tc>
          <w:p/>
          <w:p>
            <w:pPr>
              <w:spacing w:after="0" w:before="0" w:lineRule="auto" w:line="276"/>
              <w:jc w:val="left"/>
            </w:pPr>
            <w:r>
              <w:rPr>
                <w:rFonts w:ascii="Times New Roman" w:hAnsi="Times New Roman" w:cs="Times New Roman" w:eastAsia="Times New Roman"/>
                <w:b w:val="false"/>
                <w:sz w:val="26"/>
              </w:rPr>
              <w:t>Luật 49/2019/QH14</w:t>
            </w:r>
          </w:p>
        </w:tc>
        <w:tc>
          <w:p/>
          <w:p>
            <w:pPr>
              <w:spacing w:after="0" w:before="0" w:lineRule="auto" w:line="276"/>
              <w:jc w:val="left"/>
            </w:pPr>
            <w:r>
              <w:rPr>
                <w:rFonts w:ascii="Times New Roman" w:hAnsi="Times New Roman" w:cs="Times New Roman" w:eastAsia="Times New Roman"/>
                <w:b w:val="false"/>
                <w:sz w:val="26"/>
              </w:rPr>
              <w:t>22-11-2019</w:t>
            </w:r>
          </w:p>
        </w:tc>
        <w:tc>
          <w:p/>
        </w:tc>
      </w:tr>
      <w:tr>
        <w:tc>
          <w:p/>
          <w:p>
            <w:pPr>
              <w:spacing w:after="0" w:before="0" w:lineRule="auto" w:line="276"/>
              <w:jc w:val="left"/>
            </w:pPr>
            <w:r>
              <w:rPr>
                <w:rFonts w:ascii="Times New Roman" w:hAnsi="Times New Roman" w:cs="Times New Roman" w:eastAsia="Times New Roman"/>
                <w:b w:val="false"/>
                <w:sz w:val="26"/>
              </w:rPr>
              <w:t>110/2020/TT-BCA</w:t>
            </w:r>
          </w:p>
        </w:tc>
        <w:tc>
          <w:p/>
          <w:p>
            <w:pPr>
              <w:spacing w:after="0" w:before="0" w:lineRule="auto" w:line="276"/>
              <w:jc w:val="left"/>
            </w:pPr>
            <w:r>
              <w:rPr>
                <w:rFonts w:ascii="Times New Roman" w:hAnsi="Times New Roman" w:cs="Times New Roman" w:eastAsia="Times New Roman"/>
                <w:b w:val="false"/>
                <w:sz w:val="26"/>
              </w:rPr>
              <w:t>Thông tư 110/2020/TT-BCA</w:t>
            </w:r>
          </w:p>
        </w:tc>
        <w:tc>
          <w:p/>
          <w:p>
            <w:pPr>
              <w:spacing w:after="0" w:before="0" w:lineRule="auto" w:line="276"/>
              <w:jc w:val="left"/>
            </w:pPr>
            <w:r>
              <w:rPr>
                <w:rFonts w:ascii="Times New Roman" w:hAnsi="Times New Roman" w:cs="Times New Roman" w:eastAsia="Times New Roman"/>
                <w:b w:val="false"/>
                <w:sz w:val="26"/>
              </w:rPr>
              <w:t>16-10-2020</w:t>
            </w:r>
          </w:p>
        </w:tc>
        <w:tc>
          <w:p/>
        </w:tc>
      </w:tr>
      <w:tr>
        <w:tc>
          <w:p/>
          <w:p>
            <w:pPr>
              <w:spacing w:after="0" w:before="0" w:lineRule="auto" w:line="276"/>
              <w:jc w:val="left"/>
            </w:pPr>
            <w:r>
              <w:rPr>
                <w:rFonts w:ascii="Times New Roman" w:hAnsi="Times New Roman" w:cs="Times New Roman" w:eastAsia="Times New Roman"/>
                <w:b w:val="false"/>
                <w:sz w:val="26"/>
              </w:rPr>
              <w:t>25/2021/TT-BTC</w:t>
            </w:r>
          </w:p>
        </w:tc>
        <w:tc>
          <w:p/>
          <w:p>
            <w:pPr>
              <w:spacing w:after="0" w:before="0" w:lineRule="auto" w:line="276"/>
              <w:jc w:val="left"/>
            </w:pPr>
            <w:r>
              <w:rPr>
                <w:rFonts w:ascii="Times New Roman" w:hAnsi="Times New Roman" w:cs="Times New Roman" w:eastAsia="Times New Roman"/>
                <w:b w:val="false"/>
                <w:sz w:val="26"/>
              </w:rPr>
              <w:t>Thông tư 25/2021/TT-BTC</w:t>
            </w:r>
          </w:p>
        </w:tc>
        <w:tc>
          <w:p/>
          <w:p>
            <w:pPr>
              <w:spacing w:after="0" w:before="0" w:lineRule="auto" w:line="276"/>
              <w:jc w:val="left"/>
            </w:pPr>
            <w:r>
              <w:rPr>
                <w:rFonts w:ascii="Times New Roman" w:hAnsi="Times New Roman" w:cs="Times New Roman" w:eastAsia="Times New Roman"/>
                <w:b w:val="false"/>
                <w:sz w:val="26"/>
              </w:rPr>
              <w:t>07-04-2021</w:t>
            </w:r>
          </w:p>
        </w:tc>
        <w:tc>
          <w:p/>
        </w:tc>
      </w:tr>
      <w:tr>
        <w:tc>
          <w:p/>
          <w:p>
            <w:pPr>
              <w:spacing w:after="0" w:before="0" w:lineRule="auto" w:line="276"/>
              <w:jc w:val="left"/>
            </w:pPr>
            <w:r>
              <w:rPr>
                <w:rFonts w:ascii="Times New Roman" w:hAnsi="Times New Roman" w:cs="Times New Roman" w:eastAsia="Times New Roman"/>
                <w:b w:val="false"/>
                <w:sz w:val="26"/>
              </w:rPr>
              <w:t>44/2023/TT-BTC</w:t>
            </w:r>
          </w:p>
        </w:tc>
        <w:tc>
          <w:p/>
          <w:p>
            <w:pPr>
              <w:spacing w:after="0" w:before="0" w:lineRule="auto" w:line="276"/>
              <w:jc w:val="left"/>
            </w:pPr>
            <w:r>
              <w:rPr>
                <w:rFonts w:ascii="Times New Roman" w:hAnsi="Times New Roman" w:cs="Times New Roman" w:eastAsia="Times New Roman"/>
                <w:b w:val="false"/>
                <w:sz w:val="26"/>
              </w:rPr>
              <w:t>Thông tư 44/2023/TT-BTC</w:t>
            </w:r>
          </w:p>
        </w:tc>
        <w:tc>
          <w:p/>
          <w:p>
            <w:pPr>
              <w:spacing w:after="0" w:before="0" w:lineRule="auto" w:line="276"/>
              <w:jc w:val="left"/>
            </w:pPr>
            <w:r>
              <w:rPr>
                <w:rFonts w:ascii="Times New Roman" w:hAnsi="Times New Roman" w:cs="Times New Roman" w:eastAsia="Times New Roman"/>
                <w:b w:val="false"/>
                <w:sz w:val="26"/>
              </w:rPr>
              <w:t>29-06-2023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23/2023/QH15</w:t>
            </w:r>
          </w:p>
        </w:tc>
        <w:tc>
          <w:p/>
          <w:p>
            <w:pPr>
              <w:spacing w:after="0" w:before="0" w:lineRule="auto" w:line="276"/>
              <w:jc w:val="left"/>
            </w:pPr>
            <w:r>
              <w:rPr>
                <w:rFonts w:ascii="Times New Roman" w:hAnsi="Times New Roman" w:cs="Times New Roman" w:eastAsia="Times New Roman"/>
                <w:b w:val="false"/>
                <w:sz w:val="26"/>
              </w:rPr>
              <w:t>Luật Xuất cảnh, nhập cảnh của công dân Việt Nam và Luật Nhập cảnh, xuất cảnh, quá cảnh, cư trú của người nước ngoài tại Việt Nam sửa đổi 2023</w:t>
            </w:r>
          </w:p>
        </w:tc>
        <w:tc>
          <w:p/>
          <w:p>
            <w:pPr>
              <w:spacing w:after="0" w:before="0" w:lineRule="auto" w:line="276"/>
              <w:jc w:val="left"/>
            </w:pPr>
            <w:r>
              <w:rPr>
                <w:rFonts w:ascii="Times New Roman" w:hAnsi="Times New Roman" w:cs="Times New Roman" w:eastAsia="Times New Roman"/>
                <w:b w:val="false"/>
                <w:sz w:val="26"/>
              </w:rPr>
              <w:t>24-06-2023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Không thuộc các trường hợp chưa được cấp giấy tờ xuất nhập cảnh theo quy định tại Điều 21 Luật xuất cảnh, nhập cảnh của công dân Việt Nam.
+ Công dân Việt Nam đề nghị cấp hộ chiếu từ lần thứ hai trở đi hoặc đề nghị cấp hộ chiếu lần đầu nếu thuộc một trong các trường hợp quy định tại khoản 4 Điều 15 Luật Xuất cảnh, nhập cảnh của công dân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hộ chiếu phổ thông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2026-08-02T19:49:05Z</dcterms:created>
  <dc:creator>Apache POI</dc:creator>
</cp:coreProperties>
</file>