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trực tiếp nộp hồ sơ vào giờ hành chính các ngày làm việc trong tuần tại Cơ quan Quản lý xuất nhập cảnh Công an cấp tỉnh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Cơ quan Quản lý xuất nhập cảnh Công an cấp tỉnh trên Cổng dịch vụ công quốc gia hoặc Cổng dịch vụ công Bộ Công an (nếu có), cụ thể:
+ Người đề nghị cấp hộ chiếu lần đầu thực hiện tại Cơ quan Quản lý xuất nhập cảnh Công an cấp tỉnh nơi thường trú hoặc tạm trú; trường hợp có Thẻ căn cước công dân thực hiện tại Cơ quan Quản lý xuất nhập cảnh Công an cấp tỉnh nơi thuận lợi.
+ Người đề nghị cấp hộ chiếu từ lần thứ hai thực hiện tại Cơ quan Quản lý xuất nhập cảnh Công an cấp tỉnh nơi thuận lợi.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phổ thông có thể yêu cầu nhận kết quả qua dịch vụ bưu chính và phải trả phí dịch vụ chuyển phát.
* Thời gian tiếp nhận hồ sơ: Từ thứ 2 đến thứ 6 hàng tuần và sáng thứ 7 (đối với các đơn vị bố trí tiếp nhận hồ sơ vào sáng thứ 7);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Cơ quan Quản lý xuất nhập cảnh Công an cấp tỉnh; khi đến nhận kết quả mang theo giấy hẹn trả kết quả, xuất trình Chứng minh nhân dân hoặc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quốc gia hoặc Cổng dịch vụ công Bộ Công an và nêu rõ lý do.
+ Thời gian trả hộ chiếu: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(có thể khai tờ khai đề nghị cấp hộ chiếu phổ thông ở trong nước qua các cổng cung cấp dịch vụ công trực tuyến trước khi đến nộp hồ sơ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phổ thông ở trong nước (mẫu TK01 dành cho người từ 14 tuổi trở lên; mẫu TK01a dành cho người chưa đủ 14 tuổi) ban hành kèm theo Thông tư số 31/2023/TT-BCA ngày 20/7/2023 của Bộ Công an. Đối với người mất năng lực hành vi dân sự, người có khó khăn trong nhận thức, làm chủ hành vi theo quy định của Bộ luật Dân sự, người chưa đủ 14 tuổi thì người đại diện hợp pháp khai và ký thay.</w:t>
            </w:r>
          </w:p>
        </w:tc>
        <w:tc>
          <w:p/>
          <w:p>
            <w:pPr>
              <w:spacing w:after="0" w:before="0" w:lineRule="auto" w:line="276"/>
              <w:jc w:val="left"/>
            </w:pPr>
            <w:r>
              <w:rPr>
                <w:rFonts w:ascii="Times New Roman" w:hAnsi="Times New Roman" w:cs="Times New Roman" w:eastAsia="Times New Roman"/>
                <w:b w:val="false"/>
                <w:sz w:val="26"/>
              </w:rPr>
              <w:t>Mau TK01 to khai cap HCPT ở trong nước TK01 MỚI.doc</w:t>
            </w:r>
          </w:p>
          <w:p>
            <w:pPr>
              <w:spacing w:after="0" w:before="0" w:lineRule="auto" w:line="276"/>
              <w:jc w:val="left"/>
            </w:pPr>
            <w:r>
              <w:rPr>
                <w:rFonts w:ascii="Times New Roman" w:hAnsi="Times New Roman" w:cs="Times New Roman" w:eastAsia="Times New Roman"/>
                <w:b w:val="false"/>
                <w:sz w:val="26"/>
              </w:rPr>
              <w:t>Mau TK01a to khai trẻ em cap HCPT ở trong nước TK01a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không quá 06 tháng,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phổ thông cấp lần gần nhất còn giá trị sử dụng đối với người đã được cấp hộ chiếu; trường hợp hộ chiếu còn giá trị sử dụng bị mất phải kèm đơn báo mất hoặc thông báo về việc đã tiếp nhận đơn của cơ quan có thẩm quyền quy định tại điểm a khoản 2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hoặc trích lục giấy khai sinh đối với người chưa đủ 14 tuổi chưa được cấp mã số định danh cá nhân; trường hợp không có bản sao Giấy khai sinh, trích lục khai sinh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không có bản sao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xuất nhập cảnh Công an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không gắn chíp điện tử ở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2026-10-13T11:24:08Z</dcterms:created>
  <dc:creator>Apache POI</dc:creator>
</cp:coreProperties>
</file>