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Hợp tác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trực tiếp hoặc qua bưu điện 01 bộ hồ sơ đến Bộ Văn hóa, Thể thao và Du lịch;</w:t>
      </w:r>
    </w:p>
    <w:p>
      <w:pPr>
        <w:spacing w:after="0" w:before="0" w:lineRule="auto" w:line="276"/>
        <w:jc w:val="both"/>
      </w:pPr>
      <w:r>
        <w:rPr>
          <w:rFonts w:ascii="Times New Roman" w:hAnsi="Times New Roman" w:cs="Times New Roman" w:eastAsia="Times New Roman"/>
          <w:b w:val="false"/>
          <w:sz w:val="26"/>
        </w:rPr>
        <w:t>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theo Mẫu số 03 tại Phụ lục ban hành kèm theo Nghị định số 126/2018/NĐ-CP ngày 20 tháng 9 năm 2018 của Chính phủ;</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kết quả hoạt động của cơ sở văn hóa nước ngoài tại Việt Nam kể từ khi có Giấy chứng nhận đăng ký đến thời điểm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126/2018/NĐ-CP</w:t>
            </w:r>
          </w:p>
        </w:tc>
        <w:tc>
          <w:p/>
          <w:p>
            <w:pPr>
              <w:spacing w:after="0" w:before="0" w:lineRule="auto" w:line="276"/>
              <w:jc w:val="left"/>
            </w:pPr>
            <w:r>
              <w:rPr>
                <w:rFonts w:ascii="Times New Roman" w:hAnsi="Times New Roman" w:cs="Times New Roman" w:eastAsia="Times New Roman"/>
                <w:b w:val="false"/>
                <w:sz w:val="26"/>
              </w:rPr>
              <w:t>126/2018/NĐ-CP ngày 20/9/2018</w:t>
            </w:r>
          </w:p>
        </w:tc>
        <w:tc>
          <w:p/>
          <w:p>
            <w:pPr>
              <w:spacing w:after="0" w:before="0" w:lineRule="auto" w:line="276"/>
              <w:jc w:val="left"/>
            </w:pPr>
            <w:r>
              <w:rPr>
                <w:rFonts w:ascii="Times New Roman" w:hAnsi="Times New Roman" w:cs="Times New Roman" w:eastAsia="Times New Roman"/>
                <w:b w:val="false"/>
                <w:sz w:val="26"/>
              </w:rPr>
              <w:t>20-09-2018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hồ sơ đến Bộ Văn hóa, Thể thao và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2026-07-27T13:51:34Z</dcterms:created>
  <dc:creator>Apache POI</dc:creator>
</cp:coreProperties>
</file>